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1BC9E">
      <w:pPr>
        <w:snapToGrid w:val="0"/>
        <w:spacing w:line="440" w:lineRule="exact"/>
        <w:jc w:val="center"/>
        <w:rPr>
          <w:rFonts w:eastAsia="方正小标宋简体"/>
          <w:color w:val="000000"/>
          <w:sz w:val="32"/>
          <w:szCs w:val="32"/>
        </w:rPr>
      </w:pPr>
      <w:bookmarkStart w:id="1" w:name="_GoBack"/>
      <w:bookmarkEnd w:id="1"/>
      <w:r>
        <w:rPr>
          <w:rFonts w:hint="eastAsia" w:eastAsia="方正小标宋简体"/>
          <w:color w:val="000000"/>
          <w:sz w:val="32"/>
          <w:szCs w:val="32"/>
          <w:lang w:val="en-US" w:eastAsia="zh-CN"/>
        </w:rPr>
        <w:t>新乡市</w:t>
      </w:r>
      <w:r>
        <w:rPr>
          <w:rFonts w:eastAsia="方正小标宋简体"/>
          <w:color w:val="000000"/>
          <w:sz w:val="32"/>
          <w:szCs w:val="32"/>
        </w:rPr>
        <w:t>合成树脂乳液内墙涂料产品质量监督抽查实施细则</w:t>
      </w:r>
    </w:p>
    <w:p w14:paraId="514DAD8C">
      <w:pPr>
        <w:spacing w:line="440" w:lineRule="exact"/>
        <w:jc w:val="center"/>
        <w:rPr>
          <w:rFonts w:eastAsia="方正小标宋简体"/>
          <w:color w:val="000000"/>
          <w:sz w:val="32"/>
          <w:szCs w:val="32"/>
        </w:rPr>
      </w:pPr>
      <w:r>
        <w:rPr>
          <w:rFonts w:eastAsia="方正小标宋简体"/>
          <w:color w:val="000000"/>
          <w:sz w:val="32"/>
          <w:szCs w:val="32"/>
        </w:rPr>
        <w:t>（2025年版）</w:t>
      </w:r>
    </w:p>
    <w:p w14:paraId="737033F5">
      <w:pPr>
        <w:snapToGrid w:val="0"/>
        <w:spacing w:line="440" w:lineRule="exact"/>
        <w:ind w:firstLine="359" w:firstLineChars="171"/>
        <w:rPr>
          <w:color w:val="000000"/>
          <w:szCs w:val="21"/>
        </w:rPr>
      </w:pPr>
    </w:p>
    <w:p w14:paraId="77E3DDF8">
      <w:pPr>
        <w:snapToGrid w:val="0"/>
        <w:spacing w:line="440" w:lineRule="exact"/>
        <w:rPr>
          <w:color w:val="000000"/>
          <w:szCs w:val="21"/>
        </w:rPr>
      </w:pPr>
      <w:r>
        <w:rPr>
          <w:color w:val="000000"/>
          <w:szCs w:val="21"/>
        </w:rPr>
        <w:t>1 抽样方法</w:t>
      </w:r>
    </w:p>
    <w:p w14:paraId="2EFE7753">
      <w:pPr>
        <w:snapToGrid w:val="0"/>
        <w:spacing w:line="440" w:lineRule="exact"/>
        <w:ind w:firstLine="420" w:firstLineChars="200"/>
      </w:pPr>
      <w:r>
        <w:rPr>
          <w:color w:val="000000"/>
          <w:szCs w:val="21"/>
        </w:rPr>
        <w:t>以随机抽样的方式在被抽样生产者、销售者的待销产品中抽取。</w:t>
      </w:r>
    </w:p>
    <w:p w14:paraId="4CE2B274">
      <w:pPr>
        <w:snapToGrid w:val="0"/>
        <w:spacing w:line="440" w:lineRule="exact"/>
        <w:ind w:firstLine="420" w:firstLineChars="200"/>
        <w:rPr>
          <w:szCs w:val="21"/>
        </w:rPr>
      </w:pPr>
      <w:r>
        <w:rPr>
          <w:szCs w:val="21"/>
        </w:rPr>
        <w:t>随机数一般可使用</w:t>
      </w:r>
      <w:bookmarkStart w:id="0" w:name="_Hlk28691753"/>
      <w:r>
        <w:rPr>
          <w:szCs w:val="21"/>
        </w:rPr>
        <w:t>随机数</w:t>
      </w:r>
      <w:bookmarkEnd w:id="0"/>
      <w:r>
        <w:rPr>
          <w:szCs w:val="21"/>
        </w:rPr>
        <w:t>表等方法产生。</w:t>
      </w:r>
    </w:p>
    <w:p w14:paraId="68875D53">
      <w:pPr>
        <w:snapToGrid w:val="0"/>
        <w:spacing w:line="440" w:lineRule="exact"/>
        <w:ind w:firstLine="420" w:firstLineChars="200"/>
      </w:pPr>
      <w:r>
        <w:rPr>
          <w:szCs w:val="21"/>
        </w:rPr>
        <w:t>抽取2份样品，</w:t>
      </w:r>
      <w:r>
        <w:t>每份不少于3kg，</w:t>
      </w:r>
      <w:r>
        <w:rPr>
          <w:szCs w:val="21"/>
        </w:rPr>
        <w:t>一份为检验样品，一份为备用样品。</w:t>
      </w:r>
      <w:r>
        <w:t>应尽量整包装抽取，避免分装。</w:t>
      </w:r>
      <w:r>
        <w:rPr>
          <w:szCs w:val="21"/>
        </w:rPr>
        <w:t>如需配套底漆，</w:t>
      </w:r>
      <w:r>
        <w:t>抽取底漆2份，每份不少于0.5kg，一份为检验样品，一份为备用样品。</w:t>
      </w:r>
    </w:p>
    <w:p w14:paraId="6B8224C5">
      <w:pPr>
        <w:adjustRightInd w:val="0"/>
        <w:snapToGrid w:val="0"/>
        <w:spacing w:line="440" w:lineRule="exact"/>
        <w:ind w:firstLine="420"/>
      </w:pPr>
    </w:p>
    <w:p w14:paraId="058DAD4A">
      <w:pPr>
        <w:snapToGrid w:val="0"/>
        <w:spacing w:line="440" w:lineRule="exact"/>
        <w:rPr>
          <w:rFonts w:eastAsia="黑体"/>
          <w:color w:val="000000"/>
          <w:szCs w:val="21"/>
        </w:rPr>
      </w:pPr>
      <w:r>
        <w:rPr>
          <w:rFonts w:eastAsia="黑体"/>
          <w:color w:val="000000"/>
          <w:szCs w:val="21"/>
        </w:rPr>
        <w:t>2 检验依据</w:t>
      </w:r>
    </w:p>
    <w:p w14:paraId="50D1F175">
      <w:pPr>
        <w:snapToGrid w:val="0"/>
        <w:spacing w:line="440" w:lineRule="exact"/>
        <w:jc w:val="center"/>
        <w:rPr>
          <w:color w:val="000000"/>
          <w:szCs w:val="21"/>
        </w:rPr>
      </w:pPr>
      <w:r>
        <w:rPr>
          <w:color w:val="000000"/>
          <w:szCs w:val="21"/>
        </w:rPr>
        <w:t>表1 合成树脂乳液内墙涂料（执行标准GB/T 9756—2018）</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5361"/>
        <w:gridCol w:w="3059"/>
      </w:tblGrid>
      <w:tr w14:paraId="676B8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8" w:hRule="atLeast"/>
          <w:tblHeader/>
          <w:jc w:val="center"/>
        </w:trPr>
        <w:tc>
          <w:tcPr>
            <w:tcW w:w="754" w:type="dxa"/>
            <w:noWrap w:val="0"/>
            <w:vAlign w:val="center"/>
          </w:tcPr>
          <w:p w14:paraId="4C8D229A">
            <w:pPr>
              <w:adjustRightInd w:val="0"/>
              <w:snapToGrid w:val="0"/>
              <w:jc w:val="center"/>
              <w:rPr>
                <w:color w:val="000000"/>
                <w:szCs w:val="21"/>
              </w:rPr>
            </w:pPr>
            <w:r>
              <w:rPr>
                <w:color w:val="000000"/>
                <w:szCs w:val="21"/>
              </w:rPr>
              <w:t>序号</w:t>
            </w:r>
          </w:p>
        </w:tc>
        <w:tc>
          <w:tcPr>
            <w:tcW w:w="5361" w:type="dxa"/>
            <w:noWrap w:val="0"/>
            <w:vAlign w:val="center"/>
          </w:tcPr>
          <w:p w14:paraId="084AEF23">
            <w:pPr>
              <w:adjustRightInd w:val="0"/>
              <w:snapToGrid w:val="0"/>
              <w:jc w:val="center"/>
              <w:rPr>
                <w:color w:val="000000"/>
                <w:szCs w:val="21"/>
              </w:rPr>
            </w:pPr>
            <w:r>
              <w:rPr>
                <w:color w:val="000000"/>
                <w:szCs w:val="21"/>
              </w:rPr>
              <w:t>检验项目</w:t>
            </w:r>
          </w:p>
        </w:tc>
        <w:tc>
          <w:tcPr>
            <w:tcW w:w="3059" w:type="dxa"/>
            <w:noWrap w:val="0"/>
            <w:vAlign w:val="center"/>
          </w:tcPr>
          <w:p w14:paraId="0EB85A93">
            <w:pPr>
              <w:adjustRightInd w:val="0"/>
              <w:snapToGrid w:val="0"/>
              <w:jc w:val="center"/>
              <w:rPr>
                <w:color w:val="000000"/>
                <w:szCs w:val="21"/>
              </w:rPr>
            </w:pPr>
            <w:r>
              <w:rPr>
                <w:color w:val="000000"/>
                <w:szCs w:val="21"/>
              </w:rPr>
              <w:t>检验方法</w:t>
            </w:r>
          </w:p>
        </w:tc>
      </w:tr>
      <w:tr w14:paraId="2AF52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39" w:hRule="atLeast"/>
          <w:jc w:val="center"/>
        </w:trPr>
        <w:tc>
          <w:tcPr>
            <w:tcW w:w="754" w:type="dxa"/>
            <w:noWrap w:val="0"/>
            <w:vAlign w:val="center"/>
          </w:tcPr>
          <w:p w14:paraId="64E7C258">
            <w:pPr>
              <w:adjustRightInd w:val="0"/>
              <w:snapToGrid w:val="0"/>
              <w:jc w:val="center"/>
              <w:rPr>
                <w:szCs w:val="21"/>
              </w:rPr>
            </w:pPr>
            <w:r>
              <w:rPr>
                <w:szCs w:val="21"/>
              </w:rPr>
              <w:t>1</w:t>
            </w:r>
          </w:p>
        </w:tc>
        <w:tc>
          <w:tcPr>
            <w:tcW w:w="5361" w:type="dxa"/>
            <w:noWrap w:val="0"/>
            <w:vAlign w:val="center"/>
          </w:tcPr>
          <w:p w14:paraId="2DAA6076">
            <w:pPr>
              <w:adjustRightInd w:val="0"/>
              <w:snapToGrid w:val="0"/>
              <w:jc w:val="center"/>
              <w:rPr>
                <w:szCs w:val="21"/>
              </w:rPr>
            </w:pPr>
            <w:r>
              <w:rPr>
                <w:szCs w:val="21"/>
              </w:rPr>
              <w:t>VOC含量</w:t>
            </w:r>
          </w:p>
        </w:tc>
        <w:tc>
          <w:tcPr>
            <w:tcW w:w="3059" w:type="dxa"/>
            <w:noWrap w:val="0"/>
            <w:vAlign w:val="center"/>
          </w:tcPr>
          <w:p w14:paraId="7473C9F1">
            <w:pPr>
              <w:adjustRightInd w:val="0"/>
              <w:snapToGrid w:val="0"/>
              <w:jc w:val="center"/>
              <w:rPr>
                <w:szCs w:val="21"/>
              </w:rPr>
            </w:pPr>
            <w:r>
              <w:rPr>
                <w:szCs w:val="21"/>
              </w:rPr>
              <w:t>GB 18582—2020</w:t>
            </w:r>
          </w:p>
          <w:p w14:paraId="4C54842C">
            <w:pPr>
              <w:adjustRightInd w:val="0"/>
              <w:snapToGrid w:val="0"/>
              <w:jc w:val="center"/>
              <w:rPr>
                <w:szCs w:val="21"/>
              </w:rPr>
            </w:pPr>
            <w:r>
              <w:rPr>
                <w:szCs w:val="21"/>
              </w:rPr>
              <w:t>GB/T 6750—2007</w:t>
            </w:r>
          </w:p>
          <w:p w14:paraId="20DCF8E9">
            <w:pPr>
              <w:adjustRightInd w:val="0"/>
              <w:snapToGrid w:val="0"/>
              <w:jc w:val="center"/>
              <w:rPr>
                <w:szCs w:val="21"/>
              </w:rPr>
            </w:pPr>
            <w:r>
              <w:rPr>
                <w:szCs w:val="21"/>
              </w:rPr>
              <w:t>GB/T 23986—2009</w:t>
            </w:r>
          </w:p>
        </w:tc>
      </w:tr>
      <w:tr w14:paraId="5CC9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24" w:hRule="atLeast"/>
          <w:jc w:val="center"/>
        </w:trPr>
        <w:tc>
          <w:tcPr>
            <w:tcW w:w="754" w:type="dxa"/>
            <w:noWrap w:val="0"/>
            <w:vAlign w:val="center"/>
          </w:tcPr>
          <w:p w14:paraId="066805EB">
            <w:pPr>
              <w:adjustRightInd w:val="0"/>
              <w:snapToGrid w:val="0"/>
              <w:jc w:val="center"/>
              <w:rPr>
                <w:szCs w:val="21"/>
              </w:rPr>
            </w:pPr>
            <w:r>
              <w:rPr>
                <w:szCs w:val="21"/>
              </w:rPr>
              <w:t>2</w:t>
            </w:r>
          </w:p>
        </w:tc>
        <w:tc>
          <w:tcPr>
            <w:tcW w:w="5361" w:type="dxa"/>
            <w:noWrap w:val="0"/>
            <w:vAlign w:val="center"/>
          </w:tcPr>
          <w:p w14:paraId="19A207F0">
            <w:pPr>
              <w:adjustRightInd w:val="0"/>
              <w:snapToGrid w:val="0"/>
              <w:jc w:val="center"/>
              <w:rPr>
                <w:szCs w:val="21"/>
              </w:rPr>
            </w:pPr>
            <w:r>
              <w:rPr>
                <w:szCs w:val="21"/>
              </w:rPr>
              <w:t>甲醛含量</w:t>
            </w:r>
          </w:p>
        </w:tc>
        <w:tc>
          <w:tcPr>
            <w:tcW w:w="3059" w:type="dxa"/>
            <w:noWrap w:val="0"/>
            <w:vAlign w:val="center"/>
          </w:tcPr>
          <w:p w14:paraId="1BB9BA4D">
            <w:pPr>
              <w:adjustRightInd w:val="0"/>
              <w:snapToGrid w:val="0"/>
              <w:jc w:val="center"/>
              <w:rPr>
                <w:szCs w:val="21"/>
              </w:rPr>
            </w:pPr>
            <w:r>
              <w:rPr>
                <w:szCs w:val="21"/>
              </w:rPr>
              <w:t>GB/T 23993—2009</w:t>
            </w:r>
          </w:p>
        </w:tc>
      </w:tr>
      <w:tr w14:paraId="7482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93" w:hRule="atLeast"/>
          <w:jc w:val="center"/>
        </w:trPr>
        <w:tc>
          <w:tcPr>
            <w:tcW w:w="754" w:type="dxa"/>
            <w:noWrap w:val="0"/>
            <w:vAlign w:val="center"/>
          </w:tcPr>
          <w:p w14:paraId="6E632524">
            <w:pPr>
              <w:adjustRightInd w:val="0"/>
              <w:snapToGrid w:val="0"/>
              <w:jc w:val="center"/>
              <w:rPr>
                <w:szCs w:val="21"/>
              </w:rPr>
            </w:pPr>
            <w:r>
              <w:rPr>
                <w:szCs w:val="21"/>
              </w:rPr>
              <w:t>3</w:t>
            </w:r>
          </w:p>
        </w:tc>
        <w:tc>
          <w:tcPr>
            <w:tcW w:w="5361" w:type="dxa"/>
            <w:noWrap w:val="0"/>
            <w:vAlign w:val="center"/>
          </w:tcPr>
          <w:p w14:paraId="42A5DEF2">
            <w:pPr>
              <w:adjustRightInd w:val="0"/>
              <w:snapToGrid w:val="0"/>
              <w:jc w:val="center"/>
              <w:rPr>
                <w:szCs w:val="21"/>
              </w:rPr>
            </w:pPr>
            <w:r>
              <w:rPr>
                <w:szCs w:val="21"/>
              </w:rPr>
              <w:t>苯系物总和含量[限苯、甲苯、二甲苯（含乙苯）]</w:t>
            </w:r>
          </w:p>
        </w:tc>
        <w:tc>
          <w:tcPr>
            <w:tcW w:w="3059" w:type="dxa"/>
            <w:noWrap w:val="0"/>
            <w:vAlign w:val="center"/>
          </w:tcPr>
          <w:p w14:paraId="018388D6">
            <w:pPr>
              <w:adjustRightInd w:val="0"/>
              <w:snapToGrid w:val="0"/>
              <w:jc w:val="center"/>
              <w:rPr>
                <w:szCs w:val="21"/>
              </w:rPr>
            </w:pPr>
            <w:r>
              <w:rPr>
                <w:szCs w:val="21"/>
              </w:rPr>
              <w:t>GB/T 23990—2009</w:t>
            </w:r>
          </w:p>
        </w:tc>
      </w:tr>
      <w:tr w14:paraId="685CF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74" w:hRule="atLeast"/>
          <w:jc w:val="center"/>
        </w:trPr>
        <w:tc>
          <w:tcPr>
            <w:tcW w:w="754" w:type="dxa"/>
            <w:noWrap w:val="0"/>
            <w:vAlign w:val="center"/>
          </w:tcPr>
          <w:p w14:paraId="63BD0E30">
            <w:pPr>
              <w:adjustRightInd w:val="0"/>
              <w:snapToGrid w:val="0"/>
              <w:jc w:val="center"/>
              <w:rPr>
                <w:szCs w:val="21"/>
              </w:rPr>
            </w:pPr>
            <w:r>
              <w:rPr>
                <w:szCs w:val="21"/>
              </w:rPr>
              <w:t>4</w:t>
            </w:r>
          </w:p>
        </w:tc>
        <w:tc>
          <w:tcPr>
            <w:tcW w:w="5361" w:type="dxa"/>
            <w:noWrap w:val="0"/>
            <w:vAlign w:val="center"/>
          </w:tcPr>
          <w:p w14:paraId="237D2DB6">
            <w:pPr>
              <w:adjustRightInd w:val="0"/>
              <w:snapToGrid w:val="0"/>
              <w:jc w:val="center"/>
              <w:rPr>
                <w:szCs w:val="21"/>
              </w:rPr>
            </w:pPr>
            <w:r>
              <w:rPr>
                <w:szCs w:val="21"/>
              </w:rPr>
              <w:t>总铅（Pb）含量（限色漆）</w:t>
            </w:r>
          </w:p>
        </w:tc>
        <w:tc>
          <w:tcPr>
            <w:tcW w:w="3059" w:type="dxa"/>
            <w:noWrap w:val="0"/>
            <w:vAlign w:val="center"/>
          </w:tcPr>
          <w:p w14:paraId="3D80C203">
            <w:pPr>
              <w:adjustRightInd w:val="0"/>
              <w:snapToGrid w:val="0"/>
              <w:jc w:val="center"/>
              <w:rPr>
                <w:szCs w:val="21"/>
              </w:rPr>
            </w:pPr>
            <w:r>
              <w:rPr>
                <w:szCs w:val="21"/>
              </w:rPr>
              <w:t>GB/T 30647—2014</w:t>
            </w:r>
          </w:p>
        </w:tc>
      </w:tr>
      <w:tr w14:paraId="1322F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5" w:hRule="atLeast"/>
          <w:jc w:val="center"/>
        </w:trPr>
        <w:tc>
          <w:tcPr>
            <w:tcW w:w="754" w:type="dxa"/>
            <w:noWrap w:val="0"/>
            <w:vAlign w:val="center"/>
          </w:tcPr>
          <w:p w14:paraId="7392A852">
            <w:pPr>
              <w:adjustRightInd w:val="0"/>
              <w:snapToGrid w:val="0"/>
              <w:jc w:val="center"/>
              <w:rPr>
                <w:szCs w:val="21"/>
              </w:rPr>
            </w:pPr>
            <w:r>
              <w:rPr>
                <w:szCs w:val="21"/>
              </w:rPr>
              <w:t>5</w:t>
            </w:r>
          </w:p>
        </w:tc>
        <w:tc>
          <w:tcPr>
            <w:tcW w:w="5361" w:type="dxa"/>
            <w:noWrap w:val="0"/>
            <w:vAlign w:val="center"/>
          </w:tcPr>
          <w:p w14:paraId="46793DF0">
            <w:pPr>
              <w:adjustRightInd w:val="0"/>
              <w:snapToGrid w:val="0"/>
              <w:jc w:val="center"/>
              <w:rPr>
                <w:szCs w:val="21"/>
              </w:rPr>
            </w:pPr>
            <w:r>
              <w:rPr>
                <w:szCs w:val="21"/>
              </w:rPr>
              <w:t>可溶性重金属含量（镉、铬、汞）（限色漆）</w:t>
            </w:r>
          </w:p>
        </w:tc>
        <w:tc>
          <w:tcPr>
            <w:tcW w:w="3059" w:type="dxa"/>
            <w:noWrap w:val="0"/>
            <w:vAlign w:val="center"/>
          </w:tcPr>
          <w:p w14:paraId="1BBB2110">
            <w:pPr>
              <w:adjustRightInd w:val="0"/>
              <w:snapToGrid w:val="0"/>
              <w:jc w:val="center"/>
              <w:rPr>
                <w:szCs w:val="21"/>
              </w:rPr>
            </w:pPr>
            <w:r>
              <w:rPr>
                <w:szCs w:val="21"/>
              </w:rPr>
              <w:t>GB/T 23991—2009</w:t>
            </w:r>
          </w:p>
        </w:tc>
      </w:tr>
      <w:tr w14:paraId="4179C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36" w:hRule="atLeast"/>
          <w:jc w:val="center"/>
        </w:trPr>
        <w:tc>
          <w:tcPr>
            <w:tcW w:w="754" w:type="dxa"/>
            <w:noWrap w:val="0"/>
            <w:vAlign w:val="center"/>
          </w:tcPr>
          <w:p w14:paraId="150C6894">
            <w:pPr>
              <w:adjustRightInd w:val="0"/>
              <w:snapToGrid w:val="0"/>
              <w:jc w:val="center"/>
              <w:rPr>
                <w:szCs w:val="21"/>
              </w:rPr>
            </w:pPr>
            <w:r>
              <w:rPr>
                <w:szCs w:val="21"/>
              </w:rPr>
              <w:t>6</w:t>
            </w:r>
          </w:p>
        </w:tc>
        <w:tc>
          <w:tcPr>
            <w:tcW w:w="5361" w:type="dxa"/>
            <w:noWrap w:val="0"/>
            <w:vAlign w:val="center"/>
          </w:tcPr>
          <w:p w14:paraId="60F782B9">
            <w:pPr>
              <w:autoSpaceDE w:val="0"/>
              <w:autoSpaceDN w:val="0"/>
              <w:adjustRightInd w:val="0"/>
              <w:snapToGrid w:val="0"/>
              <w:jc w:val="center"/>
              <w:rPr>
                <w:kern w:val="0"/>
                <w:szCs w:val="21"/>
              </w:rPr>
            </w:pPr>
            <w:r>
              <w:rPr>
                <w:szCs w:val="21"/>
              </w:rPr>
              <w:t>烷基酚聚氧乙烯醚总和含量{限辛基酚聚氧乙烯醚[C</w:t>
            </w:r>
            <w:r>
              <w:rPr>
                <w:szCs w:val="21"/>
                <w:vertAlign w:val="subscript"/>
              </w:rPr>
              <w:t>8</w:t>
            </w:r>
            <w:r>
              <w:rPr>
                <w:szCs w:val="21"/>
              </w:rPr>
              <w:t>H</w:t>
            </w:r>
            <w:r>
              <w:rPr>
                <w:szCs w:val="21"/>
                <w:vertAlign w:val="subscript"/>
              </w:rPr>
              <w:t>17</w:t>
            </w:r>
            <w:r>
              <w:rPr>
                <w:szCs w:val="21"/>
              </w:rPr>
              <w:t>-C</w:t>
            </w:r>
            <w:r>
              <w:rPr>
                <w:szCs w:val="21"/>
                <w:vertAlign w:val="subscript"/>
              </w:rPr>
              <w:t>6</w:t>
            </w:r>
            <w:r>
              <w:rPr>
                <w:szCs w:val="21"/>
              </w:rPr>
              <w:t>H</w:t>
            </w:r>
            <w:r>
              <w:rPr>
                <w:szCs w:val="21"/>
                <w:vertAlign w:val="subscript"/>
              </w:rPr>
              <w:t>4</w:t>
            </w:r>
            <w:r>
              <w:rPr>
                <w:szCs w:val="21"/>
              </w:rPr>
              <w:t>-(OC</w:t>
            </w:r>
            <w:r>
              <w:rPr>
                <w:szCs w:val="21"/>
                <w:vertAlign w:val="subscript"/>
              </w:rPr>
              <w:t>2</w:t>
            </w:r>
            <w:r>
              <w:rPr>
                <w:szCs w:val="21"/>
              </w:rPr>
              <w:t>H</w:t>
            </w:r>
            <w:r>
              <w:rPr>
                <w:szCs w:val="21"/>
                <w:vertAlign w:val="subscript"/>
              </w:rPr>
              <w:t>4</w:t>
            </w:r>
            <w:r>
              <w:rPr>
                <w:szCs w:val="21"/>
              </w:rPr>
              <w:t>)</w:t>
            </w:r>
            <w:r>
              <w:rPr>
                <w:szCs w:val="21"/>
                <w:vertAlign w:val="subscript"/>
              </w:rPr>
              <w:t>n</w:t>
            </w:r>
            <w:r>
              <w:rPr>
                <w:szCs w:val="21"/>
              </w:rPr>
              <w:t>OH,简称OP</w:t>
            </w:r>
            <w:r>
              <w:rPr>
                <w:szCs w:val="21"/>
                <w:vertAlign w:val="subscript"/>
              </w:rPr>
              <w:t>n</w:t>
            </w:r>
            <w:r>
              <w:rPr>
                <w:szCs w:val="21"/>
              </w:rPr>
              <w:t>EO]和壬基酚聚氧乙烯醚[C</w:t>
            </w:r>
            <w:r>
              <w:rPr>
                <w:szCs w:val="21"/>
                <w:vertAlign w:val="subscript"/>
              </w:rPr>
              <w:t>9</w:t>
            </w:r>
            <w:r>
              <w:rPr>
                <w:szCs w:val="21"/>
              </w:rPr>
              <w:t>H</w:t>
            </w:r>
            <w:r>
              <w:rPr>
                <w:szCs w:val="21"/>
                <w:vertAlign w:val="subscript"/>
              </w:rPr>
              <w:t>19</w:t>
            </w:r>
            <w:r>
              <w:rPr>
                <w:szCs w:val="21"/>
              </w:rPr>
              <w:t>-C</w:t>
            </w:r>
            <w:r>
              <w:rPr>
                <w:szCs w:val="21"/>
                <w:vertAlign w:val="subscript"/>
              </w:rPr>
              <w:t>6</w:t>
            </w:r>
            <w:r>
              <w:rPr>
                <w:szCs w:val="21"/>
              </w:rPr>
              <w:t>H</w:t>
            </w:r>
            <w:r>
              <w:rPr>
                <w:szCs w:val="21"/>
                <w:vertAlign w:val="subscript"/>
              </w:rPr>
              <w:t>4</w:t>
            </w:r>
            <w:r>
              <w:rPr>
                <w:szCs w:val="21"/>
              </w:rPr>
              <w:t>-(OC</w:t>
            </w:r>
            <w:r>
              <w:rPr>
                <w:szCs w:val="21"/>
                <w:vertAlign w:val="subscript"/>
              </w:rPr>
              <w:t>2</w:t>
            </w:r>
            <w:r>
              <w:rPr>
                <w:szCs w:val="21"/>
              </w:rPr>
              <w:t>H</w:t>
            </w:r>
            <w:r>
              <w:rPr>
                <w:szCs w:val="21"/>
                <w:vertAlign w:val="subscript"/>
              </w:rPr>
              <w:t>4</w:t>
            </w:r>
            <w:r>
              <w:rPr>
                <w:szCs w:val="21"/>
              </w:rPr>
              <w:t>)</w:t>
            </w:r>
            <w:r>
              <w:rPr>
                <w:szCs w:val="21"/>
                <w:vertAlign w:val="subscript"/>
              </w:rPr>
              <w:t>n</w:t>
            </w:r>
            <w:r>
              <w:rPr>
                <w:szCs w:val="21"/>
              </w:rPr>
              <w:t>OH,简称NP</w:t>
            </w:r>
            <w:r>
              <w:rPr>
                <w:szCs w:val="21"/>
                <w:vertAlign w:val="subscript"/>
              </w:rPr>
              <w:t>n</w:t>
            </w:r>
            <w:r>
              <w:rPr>
                <w:szCs w:val="21"/>
              </w:rPr>
              <w:t>EO],n=2～16}</w:t>
            </w:r>
          </w:p>
        </w:tc>
        <w:tc>
          <w:tcPr>
            <w:tcW w:w="3059" w:type="dxa"/>
            <w:noWrap w:val="0"/>
            <w:vAlign w:val="center"/>
          </w:tcPr>
          <w:p w14:paraId="0CEFF0F3">
            <w:pPr>
              <w:adjustRightInd w:val="0"/>
              <w:snapToGrid w:val="0"/>
              <w:jc w:val="center"/>
              <w:rPr>
                <w:szCs w:val="21"/>
              </w:rPr>
            </w:pPr>
            <w:r>
              <w:rPr>
                <w:szCs w:val="21"/>
              </w:rPr>
              <w:t>GB/T 31414—2015</w:t>
            </w:r>
          </w:p>
        </w:tc>
      </w:tr>
      <w:tr w14:paraId="48BC5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97" w:hRule="atLeast"/>
          <w:jc w:val="center"/>
        </w:trPr>
        <w:tc>
          <w:tcPr>
            <w:tcW w:w="754" w:type="dxa"/>
            <w:noWrap w:val="0"/>
            <w:vAlign w:val="center"/>
          </w:tcPr>
          <w:p w14:paraId="6BF8A2D0">
            <w:pPr>
              <w:adjustRightInd w:val="0"/>
              <w:snapToGrid w:val="0"/>
              <w:jc w:val="center"/>
              <w:rPr>
                <w:szCs w:val="21"/>
              </w:rPr>
            </w:pPr>
            <w:r>
              <w:rPr>
                <w:szCs w:val="21"/>
              </w:rPr>
              <w:t>7</w:t>
            </w:r>
          </w:p>
        </w:tc>
        <w:tc>
          <w:tcPr>
            <w:tcW w:w="5361" w:type="dxa"/>
            <w:noWrap w:val="0"/>
            <w:vAlign w:val="center"/>
          </w:tcPr>
          <w:p w14:paraId="4584B9AB">
            <w:pPr>
              <w:adjustRightInd w:val="0"/>
              <w:snapToGrid w:val="0"/>
              <w:jc w:val="center"/>
              <w:rPr>
                <w:szCs w:val="21"/>
              </w:rPr>
            </w:pPr>
            <w:r>
              <w:rPr>
                <w:szCs w:val="21"/>
              </w:rPr>
              <w:t>低温稳定性（3次循环）</w:t>
            </w:r>
          </w:p>
        </w:tc>
        <w:tc>
          <w:tcPr>
            <w:tcW w:w="3059" w:type="dxa"/>
            <w:noWrap w:val="0"/>
            <w:vAlign w:val="center"/>
          </w:tcPr>
          <w:p w14:paraId="1EB90C10">
            <w:pPr>
              <w:adjustRightInd w:val="0"/>
              <w:snapToGrid w:val="0"/>
              <w:jc w:val="center"/>
              <w:rPr>
                <w:szCs w:val="21"/>
              </w:rPr>
            </w:pPr>
            <w:r>
              <w:rPr>
                <w:szCs w:val="21"/>
              </w:rPr>
              <w:t>GB/T 9756—2018</w:t>
            </w:r>
          </w:p>
          <w:p w14:paraId="0B27F41E">
            <w:pPr>
              <w:adjustRightInd w:val="0"/>
              <w:snapToGrid w:val="0"/>
              <w:jc w:val="center"/>
              <w:rPr>
                <w:szCs w:val="21"/>
              </w:rPr>
            </w:pPr>
            <w:r>
              <w:rPr>
                <w:szCs w:val="21"/>
              </w:rPr>
              <w:t>GB/T 9268—2008</w:t>
            </w:r>
          </w:p>
        </w:tc>
      </w:tr>
      <w:tr w14:paraId="66D9D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38" w:hRule="atLeast"/>
          <w:jc w:val="center"/>
        </w:trPr>
        <w:tc>
          <w:tcPr>
            <w:tcW w:w="754" w:type="dxa"/>
            <w:noWrap w:val="0"/>
            <w:vAlign w:val="center"/>
          </w:tcPr>
          <w:p w14:paraId="7A34F59A">
            <w:pPr>
              <w:adjustRightInd w:val="0"/>
              <w:snapToGrid w:val="0"/>
              <w:jc w:val="center"/>
              <w:rPr>
                <w:szCs w:val="21"/>
              </w:rPr>
            </w:pPr>
            <w:r>
              <w:rPr>
                <w:szCs w:val="21"/>
              </w:rPr>
              <w:t>8</w:t>
            </w:r>
          </w:p>
        </w:tc>
        <w:tc>
          <w:tcPr>
            <w:tcW w:w="5361" w:type="dxa"/>
            <w:noWrap w:val="0"/>
            <w:vAlign w:val="center"/>
          </w:tcPr>
          <w:p w14:paraId="50DC8723">
            <w:pPr>
              <w:adjustRightInd w:val="0"/>
              <w:snapToGrid w:val="0"/>
              <w:jc w:val="center"/>
              <w:rPr>
                <w:szCs w:val="21"/>
              </w:rPr>
            </w:pPr>
            <w:r>
              <w:rPr>
                <w:szCs w:val="21"/>
              </w:rPr>
              <w:t>低温成膜性</w:t>
            </w:r>
          </w:p>
        </w:tc>
        <w:tc>
          <w:tcPr>
            <w:tcW w:w="3059" w:type="dxa"/>
            <w:noWrap w:val="0"/>
            <w:vAlign w:val="center"/>
          </w:tcPr>
          <w:p w14:paraId="41A31866">
            <w:pPr>
              <w:adjustRightInd w:val="0"/>
              <w:snapToGrid w:val="0"/>
              <w:jc w:val="center"/>
              <w:rPr>
                <w:szCs w:val="21"/>
              </w:rPr>
            </w:pPr>
            <w:r>
              <w:rPr>
                <w:szCs w:val="21"/>
              </w:rPr>
              <w:t>GB/T 9756—2018</w:t>
            </w:r>
          </w:p>
          <w:p w14:paraId="618D647D">
            <w:pPr>
              <w:adjustRightInd w:val="0"/>
              <w:snapToGrid w:val="0"/>
              <w:jc w:val="center"/>
              <w:rPr>
                <w:szCs w:val="21"/>
              </w:rPr>
            </w:pPr>
            <w:r>
              <w:rPr>
                <w:szCs w:val="21"/>
              </w:rPr>
              <w:t>GB/T 1728—1979</w:t>
            </w:r>
          </w:p>
        </w:tc>
      </w:tr>
      <w:tr w14:paraId="7C94A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5" w:hRule="atLeast"/>
          <w:jc w:val="center"/>
        </w:trPr>
        <w:tc>
          <w:tcPr>
            <w:tcW w:w="754" w:type="dxa"/>
            <w:noWrap w:val="0"/>
            <w:vAlign w:val="center"/>
          </w:tcPr>
          <w:p w14:paraId="6E868383">
            <w:pPr>
              <w:adjustRightInd w:val="0"/>
              <w:snapToGrid w:val="0"/>
              <w:jc w:val="center"/>
              <w:rPr>
                <w:szCs w:val="21"/>
              </w:rPr>
            </w:pPr>
            <w:r>
              <w:rPr>
                <w:szCs w:val="21"/>
              </w:rPr>
              <w:t>9</w:t>
            </w:r>
          </w:p>
        </w:tc>
        <w:tc>
          <w:tcPr>
            <w:tcW w:w="5361" w:type="dxa"/>
            <w:noWrap w:val="0"/>
            <w:vAlign w:val="center"/>
          </w:tcPr>
          <w:p w14:paraId="4A08A41E">
            <w:pPr>
              <w:adjustRightInd w:val="0"/>
              <w:snapToGrid w:val="0"/>
              <w:jc w:val="center"/>
              <w:rPr>
                <w:szCs w:val="21"/>
              </w:rPr>
            </w:pPr>
            <w:r>
              <w:rPr>
                <w:szCs w:val="21"/>
              </w:rPr>
              <w:t>对比率（白色和浅色）</w:t>
            </w:r>
          </w:p>
        </w:tc>
        <w:tc>
          <w:tcPr>
            <w:tcW w:w="3059" w:type="dxa"/>
            <w:noWrap w:val="0"/>
            <w:vAlign w:val="center"/>
          </w:tcPr>
          <w:p w14:paraId="5A90833C">
            <w:pPr>
              <w:adjustRightInd w:val="0"/>
              <w:snapToGrid w:val="0"/>
              <w:jc w:val="center"/>
              <w:rPr>
                <w:szCs w:val="21"/>
              </w:rPr>
            </w:pPr>
            <w:r>
              <w:rPr>
                <w:szCs w:val="21"/>
              </w:rPr>
              <w:t>GB/T 9756—2018</w:t>
            </w:r>
          </w:p>
          <w:p w14:paraId="4EE63C43">
            <w:pPr>
              <w:adjustRightInd w:val="0"/>
              <w:snapToGrid w:val="0"/>
              <w:jc w:val="center"/>
              <w:rPr>
                <w:szCs w:val="21"/>
              </w:rPr>
            </w:pPr>
            <w:r>
              <w:rPr>
                <w:szCs w:val="21"/>
              </w:rPr>
              <w:t xml:space="preserve">GB/T 23981—2009 </w:t>
            </w:r>
          </w:p>
        </w:tc>
      </w:tr>
      <w:tr w14:paraId="61F3E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3" w:hRule="atLeast"/>
          <w:jc w:val="center"/>
        </w:trPr>
        <w:tc>
          <w:tcPr>
            <w:tcW w:w="754" w:type="dxa"/>
            <w:noWrap w:val="0"/>
            <w:vAlign w:val="center"/>
          </w:tcPr>
          <w:p w14:paraId="09AE0C25">
            <w:pPr>
              <w:adjustRightInd w:val="0"/>
              <w:snapToGrid w:val="0"/>
              <w:jc w:val="center"/>
              <w:rPr>
                <w:szCs w:val="21"/>
              </w:rPr>
            </w:pPr>
            <w:r>
              <w:rPr>
                <w:szCs w:val="21"/>
              </w:rPr>
              <w:t>10</w:t>
            </w:r>
          </w:p>
        </w:tc>
        <w:tc>
          <w:tcPr>
            <w:tcW w:w="5361" w:type="dxa"/>
            <w:noWrap w:val="0"/>
            <w:vAlign w:val="center"/>
          </w:tcPr>
          <w:p w14:paraId="3594317B">
            <w:pPr>
              <w:adjustRightInd w:val="0"/>
              <w:snapToGrid w:val="0"/>
              <w:jc w:val="center"/>
              <w:rPr>
                <w:szCs w:val="21"/>
              </w:rPr>
            </w:pPr>
            <w:r>
              <w:rPr>
                <w:szCs w:val="21"/>
              </w:rPr>
              <w:t>耐碱性（24h）</w:t>
            </w:r>
          </w:p>
        </w:tc>
        <w:tc>
          <w:tcPr>
            <w:tcW w:w="3059" w:type="dxa"/>
            <w:noWrap w:val="0"/>
            <w:vAlign w:val="center"/>
          </w:tcPr>
          <w:p w14:paraId="70DC87F4">
            <w:pPr>
              <w:adjustRightInd w:val="0"/>
              <w:snapToGrid w:val="0"/>
              <w:jc w:val="center"/>
              <w:rPr>
                <w:szCs w:val="21"/>
              </w:rPr>
            </w:pPr>
            <w:r>
              <w:rPr>
                <w:szCs w:val="21"/>
              </w:rPr>
              <w:t>GB/T 9756—2018</w:t>
            </w:r>
          </w:p>
          <w:p w14:paraId="02A303FA">
            <w:pPr>
              <w:adjustRightInd w:val="0"/>
              <w:snapToGrid w:val="0"/>
              <w:jc w:val="center"/>
              <w:rPr>
                <w:szCs w:val="21"/>
              </w:rPr>
            </w:pPr>
            <w:r>
              <w:rPr>
                <w:szCs w:val="21"/>
              </w:rPr>
              <w:t>GB/T 9265—2009</w:t>
            </w:r>
          </w:p>
          <w:p w14:paraId="626CC9A8">
            <w:pPr>
              <w:adjustRightInd w:val="0"/>
              <w:snapToGrid w:val="0"/>
              <w:jc w:val="center"/>
              <w:rPr>
                <w:szCs w:val="21"/>
              </w:rPr>
            </w:pPr>
            <w:r>
              <w:rPr>
                <w:szCs w:val="21"/>
              </w:rPr>
              <w:t xml:space="preserve">GB/T 1766—2008 </w:t>
            </w:r>
          </w:p>
        </w:tc>
      </w:tr>
      <w:tr w14:paraId="6028F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5" w:hRule="atLeast"/>
          <w:jc w:val="center"/>
        </w:trPr>
        <w:tc>
          <w:tcPr>
            <w:tcW w:w="754" w:type="dxa"/>
            <w:noWrap w:val="0"/>
            <w:vAlign w:val="center"/>
          </w:tcPr>
          <w:p w14:paraId="5A6E0E2A">
            <w:pPr>
              <w:adjustRightInd w:val="0"/>
              <w:snapToGrid w:val="0"/>
              <w:jc w:val="center"/>
              <w:rPr>
                <w:szCs w:val="21"/>
              </w:rPr>
            </w:pPr>
            <w:r>
              <w:rPr>
                <w:szCs w:val="21"/>
              </w:rPr>
              <w:t>11</w:t>
            </w:r>
          </w:p>
        </w:tc>
        <w:tc>
          <w:tcPr>
            <w:tcW w:w="5361" w:type="dxa"/>
            <w:noWrap w:val="0"/>
            <w:vAlign w:val="center"/>
          </w:tcPr>
          <w:p w14:paraId="5B29B34E">
            <w:pPr>
              <w:adjustRightInd w:val="0"/>
              <w:snapToGrid w:val="0"/>
              <w:jc w:val="center"/>
              <w:rPr>
                <w:szCs w:val="21"/>
              </w:rPr>
            </w:pPr>
            <w:r>
              <w:rPr>
                <w:szCs w:val="21"/>
              </w:rPr>
              <w:t>耐洗刷性</w:t>
            </w:r>
          </w:p>
        </w:tc>
        <w:tc>
          <w:tcPr>
            <w:tcW w:w="3059" w:type="dxa"/>
            <w:noWrap w:val="0"/>
            <w:vAlign w:val="center"/>
          </w:tcPr>
          <w:p w14:paraId="788E5CBF">
            <w:pPr>
              <w:adjustRightInd w:val="0"/>
              <w:snapToGrid w:val="0"/>
              <w:jc w:val="center"/>
              <w:rPr>
                <w:szCs w:val="21"/>
              </w:rPr>
            </w:pPr>
            <w:r>
              <w:rPr>
                <w:szCs w:val="21"/>
              </w:rPr>
              <w:t>GB/T 9756—2018</w:t>
            </w:r>
          </w:p>
          <w:p w14:paraId="0128CA76">
            <w:pPr>
              <w:adjustRightInd w:val="0"/>
              <w:snapToGrid w:val="0"/>
              <w:jc w:val="center"/>
              <w:rPr>
                <w:szCs w:val="21"/>
              </w:rPr>
            </w:pPr>
            <w:r>
              <w:rPr>
                <w:szCs w:val="21"/>
              </w:rPr>
              <w:t>GB/T 9266—2009</w:t>
            </w:r>
          </w:p>
        </w:tc>
      </w:tr>
    </w:tbl>
    <w:p w14:paraId="781E3631">
      <w:pPr>
        <w:snapToGrid w:val="0"/>
        <w:spacing w:line="440" w:lineRule="exact"/>
        <w:jc w:val="center"/>
        <w:rPr>
          <w:rFonts w:hint="eastAsia"/>
          <w:color w:val="000000"/>
          <w:szCs w:val="21"/>
        </w:rPr>
      </w:pPr>
    </w:p>
    <w:p w14:paraId="01C5A677">
      <w:pPr>
        <w:snapToGrid w:val="0"/>
        <w:spacing w:line="440" w:lineRule="exact"/>
        <w:jc w:val="center"/>
        <w:rPr>
          <w:rFonts w:hint="eastAsia"/>
          <w:color w:val="000000"/>
          <w:szCs w:val="21"/>
        </w:rPr>
      </w:pPr>
      <w:r>
        <w:rPr>
          <w:color w:val="000000"/>
          <w:szCs w:val="21"/>
        </w:rPr>
        <w:t>表2 合成树脂乳液内墙涂料（执行标准GB/T9755—2024）</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5361"/>
        <w:gridCol w:w="3059"/>
      </w:tblGrid>
      <w:tr w14:paraId="6DD8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8" w:hRule="atLeast"/>
          <w:tblHeader/>
          <w:jc w:val="center"/>
        </w:trPr>
        <w:tc>
          <w:tcPr>
            <w:tcW w:w="754" w:type="dxa"/>
            <w:noWrap w:val="0"/>
            <w:vAlign w:val="center"/>
          </w:tcPr>
          <w:p w14:paraId="1F64005A">
            <w:pPr>
              <w:adjustRightInd w:val="0"/>
              <w:snapToGrid w:val="0"/>
              <w:spacing w:line="300" w:lineRule="exact"/>
              <w:jc w:val="center"/>
              <w:rPr>
                <w:color w:val="000000"/>
                <w:szCs w:val="21"/>
              </w:rPr>
            </w:pPr>
            <w:r>
              <w:rPr>
                <w:color w:val="000000"/>
                <w:szCs w:val="21"/>
              </w:rPr>
              <w:t>序号</w:t>
            </w:r>
          </w:p>
        </w:tc>
        <w:tc>
          <w:tcPr>
            <w:tcW w:w="5361" w:type="dxa"/>
            <w:noWrap w:val="0"/>
            <w:vAlign w:val="center"/>
          </w:tcPr>
          <w:p w14:paraId="11691ED8">
            <w:pPr>
              <w:adjustRightInd w:val="0"/>
              <w:snapToGrid w:val="0"/>
              <w:spacing w:line="300" w:lineRule="exact"/>
              <w:jc w:val="center"/>
              <w:rPr>
                <w:color w:val="000000"/>
                <w:szCs w:val="21"/>
              </w:rPr>
            </w:pPr>
            <w:r>
              <w:rPr>
                <w:color w:val="000000"/>
                <w:szCs w:val="21"/>
              </w:rPr>
              <w:t>检验项目</w:t>
            </w:r>
          </w:p>
        </w:tc>
        <w:tc>
          <w:tcPr>
            <w:tcW w:w="3059" w:type="dxa"/>
            <w:noWrap w:val="0"/>
            <w:vAlign w:val="center"/>
          </w:tcPr>
          <w:p w14:paraId="00C54F95">
            <w:pPr>
              <w:adjustRightInd w:val="0"/>
              <w:snapToGrid w:val="0"/>
              <w:spacing w:line="300" w:lineRule="exact"/>
              <w:jc w:val="center"/>
              <w:rPr>
                <w:color w:val="000000"/>
                <w:szCs w:val="21"/>
              </w:rPr>
            </w:pPr>
            <w:r>
              <w:rPr>
                <w:color w:val="000000"/>
                <w:szCs w:val="21"/>
              </w:rPr>
              <w:t>检验方法</w:t>
            </w:r>
          </w:p>
        </w:tc>
      </w:tr>
      <w:tr w14:paraId="58AD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39" w:hRule="atLeast"/>
          <w:jc w:val="center"/>
        </w:trPr>
        <w:tc>
          <w:tcPr>
            <w:tcW w:w="754" w:type="dxa"/>
            <w:noWrap w:val="0"/>
            <w:vAlign w:val="center"/>
          </w:tcPr>
          <w:p w14:paraId="4775A14F">
            <w:pPr>
              <w:adjustRightInd w:val="0"/>
              <w:snapToGrid w:val="0"/>
              <w:spacing w:line="300" w:lineRule="exact"/>
              <w:jc w:val="center"/>
            </w:pPr>
            <w:r>
              <w:t>1</w:t>
            </w:r>
          </w:p>
        </w:tc>
        <w:tc>
          <w:tcPr>
            <w:tcW w:w="5361" w:type="dxa"/>
            <w:noWrap w:val="0"/>
            <w:vAlign w:val="center"/>
          </w:tcPr>
          <w:p w14:paraId="3B006866">
            <w:pPr>
              <w:adjustRightInd w:val="0"/>
              <w:snapToGrid w:val="0"/>
              <w:spacing w:line="300" w:lineRule="exact"/>
              <w:jc w:val="center"/>
            </w:pPr>
            <w:r>
              <w:t>VOC含量</w:t>
            </w:r>
          </w:p>
        </w:tc>
        <w:tc>
          <w:tcPr>
            <w:tcW w:w="3059" w:type="dxa"/>
            <w:noWrap w:val="0"/>
            <w:vAlign w:val="center"/>
          </w:tcPr>
          <w:p w14:paraId="15EC17AB">
            <w:pPr>
              <w:adjustRightInd w:val="0"/>
              <w:snapToGrid w:val="0"/>
              <w:spacing w:line="300" w:lineRule="exact"/>
              <w:jc w:val="center"/>
            </w:pPr>
            <w:r>
              <w:t>GB 18582</w:t>
            </w:r>
            <w:r>
              <w:rPr>
                <w:rFonts w:hint="eastAsia"/>
              </w:rPr>
              <w:t>—</w:t>
            </w:r>
            <w:r>
              <w:t>2020</w:t>
            </w:r>
          </w:p>
          <w:p w14:paraId="59B4B5DA">
            <w:pPr>
              <w:adjustRightInd w:val="0"/>
              <w:snapToGrid w:val="0"/>
              <w:spacing w:line="300" w:lineRule="exact"/>
              <w:jc w:val="center"/>
            </w:pPr>
            <w:r>
              <w:t>GB/T 6750</w:t>
            </w:r>
            <w:r>
              <w:rPr>
                <w:rFonts w:hint="eastAsia"/>
              </w:rPr>
              <w:t>—</w:t>
            </w:r>
            <w:r>
              <w:t>2007</w:t>
            </w:r>
          </w:p>
          <w:p w14:paraId="20F234F4">
            <w:pPr>
              <w:adjustRightInd w:val="0"/>
              <w:snapToGrid w:val="0"/>
              <w:spacing w:line="300" w:lineRule="exact"/>
              <w:jc w:val="center"/>
            </w:pPr>
            <w:r>
              <w:t>GB/T 23986</w:t>
            </w:r>
            <w:r>
              <w:rPr>
                <w:rFonts w:hint="eastAsia"/>
              </w:rPr>
              <w:t>—</w:t>
            </w:r>
            <w:r>
              <w:t>2009</w:t>
            </w:r>
          </w:p>
        </w:tc>
      </w:tr>
      <w:tr w14:paraId="185B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24" w:hRule="atLeast"/>
          <w:jc w:val="center"/>
        </w:trPr>
        <w:tc>
          <w:tcPr>
            <w:tcW w:w="754" w:type="dxa"/>
            <w:noWrap w:val="0"/>
            <w:vAlign w:val="center"/>
          </w:tcPr>
          <w:p w14:paraId="0BFC8D8F">
            <w:pPr>
              <w:adjustRightInd w:val="0"/>
              <w:snapToGrid w:val="0"/>
              <w:spacing w:line="300" w:lineRule="exact"/>
              <w:jc w:val="center"/>
            </w:pPr>
            <w:r>
              <w:t>2</w:t>
            </w:r>
          </w:p>
        </w:tc>
        <w:tc>
          <w:tcPr>
            <w:tcW w:w="5361" w:type="dxa"/>
            <w:noWrap w:val="0"/>
            <w:vAlign w:val="center"/>
          </w:tcPr>
          <w:p w14:paraId="1EE77B21">
            <w:pPr>
              <w:adjustRightInd w:val="0"/>
              <w:snapToGrid w:val="0"/>
              <w:spacing w:line="300" w:lineRule="exact"/>
              <w:jc w:val="center"/>
            </w:pPr>
            <w:r>
              <w:t>甲醛含量</w:t>
            </w:r>
          </w:p>
        </w:tc>
        <w:tc>
          <w:tcPr>
            <w:tcW w:w="3059" w:type="dxa"/>
            <w:noWrap w:val="0"/>
            <w:vAlign w:val="center"/>
          </w:tcPr>
          <w:p w14:paraId="2A46946F">
            <w:pPr>
              <w:adjustRightInd w:val="0"/>
              <w:snapToGrid w:val="0"/>
              <w:spacing w:line="300" w:lineRule="exact"/>
              <w:jc w:val="center"/>
            </w:pPr>
            <w:r>
              <w:t>GB/T 23993</w:t>
            </w:r>
            <w:r>
              <w:rPr>
                <w:rFonts w:hint="eastAsia"/>
              </w:rPr>
              <w:t>—</w:t>
            </w:r>
            <w:r>
              <w:t>2009</w:t>
            </w:r>
          </w:p>
        </w:tc>
      </w:tr>
      <w:tr w14:paraId="09A74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93" w:hRule="atLeast"/>
          <w:jc w:val="center"/>
        </w:trPr>
        <w:tc>
          <w:tcPr>
            <w:tcW w:w="754" w:type="dxa"/>
            <w:noWrap w:val="0"/>
            <w:vAlign w:val="center"/>
          </w:tcPr>
          <w:p w14:paraId="5E7135E2">
            <w:pPr>
              <w:adjustRightInd w:val="0"/>
              <w:snapToGrid w:val="0"/>
              <w:spacing w:line="300" w:lineRule="exact"/>
              <w:jc w:val="center"/>
            </w:pPr>
            <w:r>
              <w:t>3</w:t>
            </w:r>
          </w:p>
        </w:tc>
        <w:tc>
          <w:tcPr>
            <w:tcW w:w="5361" w:type="dxa"/>
            <w:noWrap w:val="0"/>
            <w:vAlign w:val="center"/>
          </w:tcPr>
          <w:p w14:paraId="7B682548">
            <w:pPr>
              <w:adjustRightInd w:val="0"/>
              <w:snapToGrid w:val="0"/>
              <w:spacing w:line="300" w:lineRule="exact"/>
              <w:jc w:val="center"/>
            </w:pPr>
            <w:r>
              <w:t>苯系物总和含量[限苯、甲苯、二甲苯（含乙苯）]</w:t>
            </w:r>
          </w:p>
        </w:tc>
        <w:tc>
          <w:tcPr>
            <w:tcW w:w="3059" w:type="dxa"/>
            <w:noWrap w:val="0"/>
            <w:vAlign w:val="center"/>
          </w:tcPr>
          <w:p w14:paraId="0A956E3C">
            <w:pPr>
              <w:adjustRightInd w:val="0"/>
              <w:snapToGrid w:val="0"/>
              <w:spacing w:line="300" w:lineRule="exact"/>
              <w:jc w:val="center"/>
            </w:pPr>
            <w:r>
              <w:t>GB/T 23990</w:t>
            </w:r>
            <w:r>
              <w:rPr>
                <w:rFonts w:hint="eastAsia"/>
              </w:rPr>
              <w:t>—</w:t>
            </w:r>
            <w:r>
              <w:t>2009</w:t>
            </w:r>
          </w:p>
        </w:tc>
      </w:tr>
      <w:tr w14:paraId="23BA2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74" w:hRule="atLeast"/>
          <w:jc w:val="center"/>
        </w:trPr>
        <w:tc>
          <w:tcPr>
            <w:tcW w:w="754" w:type="dxa"/>
            <w:noWrap w:val="0"/>
            <w:vAlign w:val="center"/>
          </w:tcPr>
          <w:p w14:paraId="550C02CB">
            <w:pPr>
              <w:adjustRightInd w:val="0"/>
              <w:snapToGrid w:val="0"/>
              <w:spacing w:line="300" w:lineRule="exact"/>
              <w:jc w:val="center"/>
            </w:pPr>
            <w:r>
              <w:t>4</w:t>
            </w:r>
          </w:p>
        </w:tc>
        <w:tc>
          <w:tcPr>
            <w:tcW w:w="5361" w:type="dxa"/>
            <w:noWrap w:val="0"/>
            <w:vAlign w:val="center"/>
          </w:tcPr>
          <w:p w14:paraId="4FF9A437">
            <w:pPr>
              <w:adjustRightInd w:val="0"/>
              <w:snapToGrid w:val="0"/>
              <w:spacing w:line="300" w:lineRule="exact"/>
              <w:jc w:val="center"/>
            </w:pPr>
            <w:r>
              <w:t>总铅（Pb）含量（限色漆）</w:t>
            </w:r>
          </w:p>
        </w:tc>
        <w:tc>
          <w:tcPr>
            <w:tcW w:w="3059" w:type="dxa"/>
            <w:noWrap w:val="0"/>
            <w:vAlign w:val="center"/>
          </w:tcPr>
          <w:p w14:paraId="6D51B7F7">
            <w:pPr>
              <w:adjustRightInd w:val="0"/>
              <w:snapToGrid w:val="0"/>
              <w:spacing w:line="300" w:lineRule="exact"/>
              <w:jc w:val="center"/>
            </w:pPr>
            <w:r>
              <w:t>GB/T 30647</w:t>
            </w:r>
            <w:r>
              <w:rPr>
                <w:rFonts w:hint="eastAsia"/>
              </w:rPr>
              <w:t>—</w:t>
            </w:r>
            <w:r>
              <w:t>2014</w:t>
            </w:r>
          </w:p>
        </w:tc>
      </w:tr>
      <w:tr w14:paraId="6C6CF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5" w:hRule="atLeast"/>
          <w:jc w:val="center"/>
        </w:trPr>
        <w:tc>
          <w:tcPr>
            <w:tcW w:w="754" w:type="dxa"/>
            <w:noWrap w:val="0"/>
            <w:vAlign w:val="center"/>
          </w:tcPr>
          <w:p w14:paraId="2CE9881F">
            <w:pPr>
              <w:adjustRightInd w:val="0"/>
              <w:snapToGrid w:val="0"/>
              <w:spacing w:line="300" w:lineRule="exact"/>
              <w:jc w:val="center"/>
            </w:pPr>
            <w:r>
              <w:t>5</w:t>
            </w:r>
          </w:p>
        </w:tc>
        <w:tc>
          <w:tcPr>
            <w:tcW w:w="5361" w:type="dxa"/>
            <w:noWrap w:val="0"/>
            <w:vAlign w:val="center"/>
          </w:tcPr>
          <w:p w14:paraId="0680A47A">
            <w:pPr>
              <w:adjustRightInd w:val="0"/>
              <w:snapToGrid w:val="0"/>
              <w:spacing w:line="300" w:lineRule="exact"/>
              <w:jc w:val="center"/>
            </w:pPr>
            <w:r>
              <w:t>可溶性重金属含量（镉、铬、汞）（限色漆）</w:t>
            </w:r>
          </w:p>
        </w:tc>
        <w:tc>
          <w:tcPr>
            <w:tcW w:w="3059" w:type="dxa"/>
            <w:noWrap w:val="0"/>
            <w:vAlign w:val="center"/>
          </w:tcPr>
          <w:p w14:paraId="0A5C1916">
            <w:pPr>
              <w:adjustRightInd w:val="0"/>
              <w:snapToGrid w:val="0"/>
              <w:spacing w:line="300" w:lineRule="exact"/>
              <w:jc w:val="center"/>
            </w:pPr>
            <w:r>
              <w:t>GB/T 23991</w:t>
            </w:r>
            <w:r>
              <w:rPr>
                <w:rFonts w:hint="eastAsia"/>
              </w:rPr>
              <w:t>—</w:t>
            </w:r>
            <w:r>
              <w:t>2009</w:t>
            </w:r>
          </w:p>
        </w:tc>
      </w:tr>
      <w:tr w14:paraId="1CB9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736" w:hRule="atLeast"/>
          <w:jc w:val="center"/>
        </w:trPr>
        <w:tc>
          <w:tcPr>
            <w:tcW w:w="754" w:type="dxa"/>
            <w:noWrap w:val="0"/>
            <w:vAlign w:val="center"/>
          </w:tcPr>
          <w:p w14:paraId="38B341A1">
            <w:pPr>
              <w:adjustRightInd w:val="0"/>
              <w:snapToGrid w:val="0"/>
              <w:spacing w:line="300" w:lineRule="exact"/>
              <w:jc w:val="center"/>
            </w:pPr>
            <w:r>
              <w:t>6</w:t>
            </w:r>
          </w:p>
        </w:tc>
        <w:tc>
          <w:tcPr>
            <w:tcW w:w="5361" w:type="dxa"/>
            <w:noWrap w:val="0"/>
            <w:vAlign w:val="center"/>
          </w:tcPr>
          <w:p w14:paraId="631CFE2B">
            <w:pPr>
              <w:adjustRightInd w:val="0"/>
              <w:snapToGrid w:val="0"/>
              <w:spacing w:line="300" w:lineRule="exact"/>
              <w:jc w:val="center"/>
              <w:rPr>
                <w:rFonts w:eastAsia="E-BZ"/>
                <w:kern w:val="0"/>
                <w:sz w:val="16"/>
                <w:szCs w:val="16"/>
              </w:rPr>
            </w:pPr>
            <w:r>
              <w:t>烷基酚聚氧乙烯醚总和含量{限辛基酚聚氧乙烯醚[C</w:t>
            </w:r>
            <w:r>
              <w:rPr>
                <w:vertAlign w:val="subscript"/>
              </w:rPr>
              <w:t>8</w:t>
            </w:r>
            <w:r>
              <w:t>H</w:t>
            </w:r>
            <w:r>
              <w:rPr>
                <w:vertAlign w:val="subscript"/>
              </w:rPr>
              <w:t>17</w:t>
            </w:r>
            <w:r>
              <w:t>-C</w:t>
            </w:r>
            <w:r>
              <w:rPr>
                <w:vertAlign w:val="subscript"/>
              </w:rPr>
              <w:t>6</w:t>
            </w:r>
            <w:r>
              <w:t>H</w:t>
            </w:r>
            <w:r>
              <w:rPr>
                <w:vertAlign w:val="subscript"/>
              </w:rPr>
              <w:t>4</w:t>
            </w:r>
            <w:r>
              <w:t>-(OC</w:t>
            </w:r>
            <w:r>
              <w:rPr>
                <w:vertAlign w:val="subscript"/>
              </w:rPr>
              <w:t>2</w:t>
            </w:r>
            <w:r>
              <w:t>H</w:t>
            </w:r>
            <w:r>
              <w:rPr>
                <w:vertAlign w:val="subscript"/>
              </w:rPr>
              <w:t>4</w:t>
            </w:r>
            <w:r>
              <w:t>)</w:t>
            </w:r>
            <w:r>
              <w:rPr>
                <w:vertAlign w:val="subscript"/>
              </w:rPr>
              <w:t>n</w:t>
            </w:r>
            <w:r>
              <w:t>OH,简称OP</w:t>
            </w:r>
            <w:r>
              <w:rPr>
                <w:vertAlign w:val="subscript"/>
              </w:rPr>
              <w:t>n</w:t>
            </w:r>
            <w:r>
              <w:t>EO]和壬基酚聚氧乙烯醚[C</w:t>
            </w:r>
            <w:r>
              <w:rPr>
                <w:vertAlign w:val="subscript"/>
              </w:rPr>
              <w:t>9</w:t>
            </w:r>
            <w:r>
              <w:t>H</w:t>
            </w:r>
            <w:r>
              <w:rPr>
                <w:vertAlign w:val="subscript"/>
              </w:rPr>
              <w:t>19</w:t>
            </w:r>
            <w:r>
              <w:t>-C</w:t>
            </w:r>
            <w:r>
              <w:rPr>
                <w:vertAlign w:val="subscript"/>
              </w:rPr>
              <w:t>6</w:t>
            </w:r>
            <w:r>
              <w:t>H</w:t>
            </w:r>
            <w:r>
              <w:rPr>
                <w:vertAlign w:val="subscript"/>
              </w:rPr>
              <w:t>4</w:t>
            </w:r>
            <w:r>
              <w:t>-(OC</w:t>
            </w:r>
            <w:r>
              <w:rPr>
                <w:vertAlign w:val="subscript"/>
              </w:rPr>
              <w:t>2</w:t>
            </w:r>
            <w:r>
              <w:t>H</w:t>
            </w:r>
            <w:r>
              <w:rPr>
                <w:vertAlign w:val="subscript"/>
              </w:rPr>
              <w:t>4</w:t>
            </w:r>
            <w:r>
              <w:t>)</w:t>
            </w:r>
            <w:r>
              <w:rPr>
                <w:vertAlign w:val="subscript"/>
              </w:rPr>
              <w:t>n</w:t>
            </w:r>
            <w:r>
              <w:t>OH,简称NP</w:t>
            </w:r>
            <w:r>
              <w:rPr>
                <w:vertAlign w:val="subscript"/>
              </w:rPr>
              <w:t>n</w:t>
            </w:r>
            <w:r>
              <w:t>EO],n=2～16}</w:t>
            </w:r>
          </w:p>
        </w:tc>
        <w:tc>
          <w:tcPr>
            <w:tcW w:w="3059" w:type="dxa"/>
            <w:noWrap w:val="0"/>
            <w:vAlign w:val="center"/>
          </w:tcPr>
          <w:p w14:paraId="5C517F05">
            <w:pPr>
              <w:adjustRightInd w:val="0"/>
              <w:snapToGrid w:val="0"/>
              <w:spacing w:line="300" w:lineRule="exact"/>
              <w:jc w:val="center"/>
            </w:pPr>
            <w:r>
              <w:t>GB/T 31414</w:t>
            </w:r>
            <w:r>
              <w:rPr>
                <w:rFonts w:hint="eastAsia"/>
              </w:rPr>
              <w:t>—</w:t>
            </w:r>
            <w:r>
              <w:t>2015</w:t>
            </w:r>
          </w:p>
        </w:tc>
      </w:tr>
      <w:tr w14:paraId="62C01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97" w:hRule="atLeast"/>
          <w:jc w:val="center"/>
        </w:trPr>
        <w:tc>
          <w:tcPr>
            <w:tcW w:w="754" w:type="dxa"/>
            <w:noWrap w:val="0"/>
            <w:vAlign w:val="center"/>
          </w:tcPr>
          <w:p w14:paraId="07A6635B">
            <w:pPr>
              <w:adjustRightInd w:val="0"/>
              <w:snapToGrid w:val="0"/>
              <w:spacing w:line="300" w:lineRule="exact"/>
              <w:jc w:val="center"/>
            </w:pPr>
            <w:r>
              <w:t>7</w:t>
            </w:r>
          </w:p>
        </w:tc>
        <w:tc>
          <w:tcPr>
            <w:tcW w:w="5361" w:type="dxa"/>
            <w:noWrap w:val="0"/>
            <w:vAlign w:val="center"/>
          </w:tcPr>
          <w:p w14:paraId="26261CDD">
            <w:pPr>
              <w:adjustRightInd w:val="0"/>
              <w:snapToGrid w:val="0"/>
              <w:spacing w:line="300" w:lineRule="exact"/>
              <w:jc w:val="center"/>
            </w:pPr>
            <w:r>
              <w:t>低温稳定性</w:t>
            </w:r>
            <w:r>
              <w:rPr>
                <w:rFonts w:hint="eastAsia"/>
              </w:rPr>
              <w:t>（3次循环）</w:t>
            </w:r>
          </w:p>
        </w:tc>
        <w:tc>
          <w:tcPr>
            <w:tcW w:w="3059" w:type="dxa"/>
            <w:noWrap w:val="0"/>
            <w:vAlign w:val="center"/>
          </w:tcPr>
          <w:p w14:paraId="4E2DC076">
            <w:pPr>
              <w:adjustRightInd w:val="0"/>
              <w:snapToGrid w:val="0"/>
              <w:spacing w:line="300" w:lineRule="exact"/>
              <w:jc w:val="center"/>
            </w:pPr>
            <w:r>
              <w:t>GB/T 9755</w:t>
            </w:r>
            <w:r>
              <w:rPr>
                <w:rFonts w:hint="eastAsia"/>
              </w:rPr>
              <w:t>—</w:t>
            </w:r>
            <w:r>
              <w:t>2024</w:t>
            </w:r>
          </w:p>
          <w:p w14:paraId="0DA0A37E">
            <w:pPr>
              <w:adjustRightInd w:val="0"/>
              <w:snapToGrid w:val="0"/>
              <w:spacing w:line="300" w:lineRule="exact"/>
              <w:jc w:val="center"/>
            </w:pPr>
            <w:r>
              <w:t>GB/T 9268</w:t>
            </w:r>
            <w:r>
              <w:rPr>
                <w:rFonts w:hint="eastAsia"/>
              </w:rPr>
              <w:t>—</w:t>
            </w:r>
            <w:r>
              <w:t>2008</w:t>
            </w:r>
          </w:p>
        </w:tc>
      </w:tr>
      <w:tr w14:paraId="790A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238" w:hRule="atLeast"/>
          <w:jc w:val="center"/>
        </w:trPr>
        <w:tc>
          <w:tcPr>
            <w:tcW w:w="754" w:type="dxa"/>
            <w:noWrap w:val="0"/>
            <w:vAlign w:val="center"/>
          </w:tcPr>
          <w:p w14:paraId="514D33FE">
            <w:pPr>
              <w:adjustRightInd w:val="0"/>
              <w:snapToGrid w:val="0"/>
              <w:spacing w:line="300" w:lineRule="exact"/>
              <w:jc w:val="center"/>
            </w:pPr>
            <w:r>
              <w:t>8</w:t>
            </w:r>
          </w:p>
        </w:tc>
        <w:tc>
          <w:tcPr>
            <w:tcW w:w="5361" w:type="dxa"/>
            <w:noWrap w:val="0"/>
            <w:vAlign w:val="center"/>
          </w:tcPr>
          <w:p w14:paraId="782FB76E">
            <w:pPr>
              <w:adjustRightInd w:val="0"/>
              <w:snapToGrid w:val="0"/>
              <w:spacing w:line="300" w:lineRule="exact"/>
              <w:jc w:val="center"/>
            </w:pPr>
            <w:r>
              <w:t>低温成膜性</w:t>
            </w:r>
          </w:p>
        </w:tc>
        <w:tc>
          <w:tcPr>
            <w:tcW w:w="3059" w:type="dxa"/>
            <w:noWrap w:val="0"/>
            <w:vAlign w:val="center"/>
          </w:tcPr>
          <w:p w14:paraId="1707115F">
            <w:pPr>
              <w:adjustRightInd w:val="0"/>
              <w:snapToGrid w:val="0"/>
              <w:spacing w:line="300" w:lineRule="exact"/>
              <w:jc w:val="center"/>
            </w:pPr>
            <w:r>
              <w:t>GB/T 9755</w:t>
            </w:r>
            <w:r>
              <w:rPr>
                <w:rFonts w:hint="eastAsia"/>
              </w:rPr>
              <w:t>—</w:t>
            </w:r>
            <w:r>
              <w:t>2024</w:t>
            </w:r>
          </w:p>
          <w:p w14:paraId="1357635C">
            <w:pPr>
              <w:adjustRightInd w:val="0"/>
              <w:snapToGrid w:val="0"/>
              <w:spacing w:line="300" w:lineRule="exact"/>
              <w:jc w:val="center"/>
              <w:rPr>
                <w:rFonts w:hint="eastAsia"/>
              </w:rPr>
            </w:pPr>
            <w:r>
              <w:t>GB/T 1728</w:t>
            </w:r>
            <w:r>
              <w:rPr>
                <w:rFonts w:hint="eastAsia"/>
              </w:rPr>
              <w:t>—</w:t>
            </w:r>
            <w:r>
              <w:t>2020</w:t>
            </w:r>
          </w:p>
        </w:tc>
      </w:tr>
      <w:tr w14:paraId="4335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5" w:hRule="atLeast"/>
          <w:jc w:val="center"/>
        </w:trPr>
        <w:tc>
          <w:tcPr>
            <w:tcW w:w="754" w:type="dxa"/>
            <w:noWrap w:val="0"/>
            <w:vAlign w:val="center"/>
          </w:tcPr>
          <w:p w14:paraId="2FF8A455">
            <w:pPr>
              <w:adjustRightInd w:val="0"/>
              <w:snapToGrid w:val="0"/>
              <w:spacing w:line="300" w:lineRule="exact"/>
              <w:jc w:val="center"/>
            </w:pPr>
            <w:r>
              <w:t>9</w:t>
            </w:r>
          </w:p>
        </w:tc>
        <w:tc>
          <w:tcPr>
            <w:tcW w:w="5361" w:type="dxa"/>
            <w:noWrap w:val="0"/>
            <w:vAlign w:val="center"/>
          </w:tcPr>
          <w:p w14:paraId="7877FCB9">
            <w:pPr>
              <w:adjustRightInd w:val="0"/>
              <w:snapToGrid w:val="0"/>
              <w:spacing w:line="300" w:lineRule="exact"/>
              <w:jc w:val="center"/>
            </w:pPr>
            <w:r>
              <w:t>对比率（白色和浅色）</w:t>
            </w:r>
            <w:r>
              <w:rPr>
                <w:rFonts w:hint="eastAsia"/>
              </w:rPr>
              <w:t>（含铝粉、珠光颜料的涂料除外）</w:t>
            </w:r>
          </w:p>
        </w:tc>
        <w:tc>
          <w:tcPr>
            <w:tcW w:w="3059" w:type="dxa"/>
            <w:noWrap w:val="0"/>
            <w:vAlign w:val="center"/>
          </w:tcPr>
          <w:p w14:paraId="4FAC6C4D">
            <w:pPr>
              <w:adjustRightInd w:val="0"/>
              <w:snapToGrid w:val="0"/>
              <w:spacing w:line="300" w:lineRule="exact"/>
              <w:jc w:val="center"/>
            </w:pPr>
            <w:r>
              <w:t>GB/T 9755</w:t>
            </w:r>
            <w:r>
              <w:rPr>
                <w:rFonts w:hint="eastAsia"/>
              </w:rPr>
              <w:t>—</w:t>
            </w:r>
            <w:r>
              <w:t>2024</w:t>
            </w:r>
          </w:p>
          <w:p w14:paraId="5D33D126">
            <w:pPr>
              <w:adjustRightInd w:val="0"/>
              <w:snapToGrid w:val="0"/>
              <w:spacing w:line="300" w:lineRule="exact"/>
              <w:jc w:val="center"/>
            </w:pPr>
            <w:r>
              <w:t>GB/T 23981.1</w:t>
            </w:r>
            <w:r>
              <w:rPr>
                <w:rFonts w:hint="eastAsia"/>
              </w:rPr>
              <w:t>—</w:t>
            </w:r>
            <w:r>
              <w:t xml:space="preserve">2019 </w:t>
            </w:r>
          </w:p>
        </w:tc>
      </w:tr>
      <w:tr w14:paraId="7161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3" w:hRule="atLeast"/>
          <w:jc w:val="center"/>
        </w:trPr>
        <w:tc>
          <w:tcPr>
            <w:tcW w:w="754" w:type="dxa"/>
            <w:noWrap w:val="0"/>
            <w:vAlign w:val="center"/>
          </w:tcPr>
          <w:p w14:paraId="74069931">
            <w:pPr>
              <w:adjustRightInd w:val="0"/>
              <w:snapToGrid w:val="0"/>
              <w:spacing w:line="300" w:lineRule="exact"/>
              <w:jc w:val="center"/>
            </w:pPr>
            <w:r>
              <w:t>10</w:t>
            </w:r>
          </w:p>
        </w:tc>
        <w:tc>
          <w:tcPr>
            <w:tcW w:w="5361" w:type="dxa"/>
            <w:noWrap w:val="0"/>
            <w:vAlign w:val="center"/>
          </w:tcPr>
          <w:p w14:paraId="34DA4996">
            <w:pPr>
              <w:adjustRightInd w:val="0"/>
              <w:snapToGrid w:val="0"/>
              <w:spacing w:line="300" w:lineRule="exact"/>
              <w:jc w:val="center"/>
            </w:pPr>
            <w:r>
              <w:t>耐碱性</w:t>
            </w:r>
          </w:p>
        </w:tc>
        <w:tc>
          <w:tcPr>
            <w:tcW w:w="3059" w:type="dxa"/>
            <w:noWrap w:val="0"/>
            <w:vAlign w:val="center"/>
          </w:tcPr>
          <w:p w14:paraId="04F14F81">
            <w:pPr>
              <w:adjustRightInd w:val="0"/>
              <w:snapToGrid w:val="0"/>
              <w:spacing w:line="300" w:lineRule="exact"/>
              <w:jc w:val="center"/>
            </w:pPr>
            <w:r>
              <w:t>GB/T 9755</w:t>
            </w:r>
            <w:r>
              <w:rPr>
                <w:rFonts w:hint="eastAsia"/>
              </w:rPr>
              <w:t>—</w:t>
            </w:r>
            <w:r>
              <w:t>2024</w:t>
            </w:r>
          </w:p>
          <w:p w14:paraId="675D62B7">
            <w:pPr>
              <w:adjustRightInd w:val="0"/>
              <w:snapToGrid w:val="0"/>
              <w:spacing w:line="300" w:lineRule="exact"/>
              <w:jc w:val="center"/>
            </w:pPr>
            <w:r>
              <w:t>GB/T 9265</w:t>
            </w:r>
            <w:r>
              <w:rPr>
                <w:rFonts w:hint="eastAsia"/>
              </w:rPr>
              <w:t>—</w:t>
            </w:r>
            <w:r>
              <w:t>2009</w:t>
            </w:r>
          </w:p>
          <w:p w14:paraId="54D0CE0D">
            <w:pPr>
              <w:adjustRightInd w:val="0"/>
              <w:snapToGrid w:val="0"/>
              <w:spacing w:line="300" w:lineRule="exact"/>
              <w:jc w:val="center"/>
            </w:pPr>
            <w:r>
              <w:t>GB/T 1766</w:t>
            </w:r>
            <w:r>
              <w:rPr>
                <w:rFonts w:hint="eastAsia"/>
              </w:rPr>
              <w:t>—</w:t>
            </w:r>
            <w:r>
              <w:t xml:space="preserve">2008 </w:t>
            </w:r>
          </w:p>
        </w:tc>
      </w:tr>
      <w:tr w14:paraId="4D4FB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25" w:hRule="atLeast"/>
          <w:jc w:val="center"/>
        </w:trPr>
        <w:tc>
          <w:tcPr>
            <w:tcW w:w="754" w:type="dxa"/>
            <w:noWrap w:val="0"/>
            <w:vAlign w:val="center"/>
          </w:tcPr>
          <w:p w14:paraId="72BE9724">
            <w:pPr>
              <w:adjustRightInd w:val="0"/>
              <w:snapToGrid w:val="0"/>
              <w:spacing w:line="300" w:lineRule="exact"/>
              <w:jc w:val="center"/>
            </w:pPr>
            <w:r>
              <w:t>11</w:t>
            </w:r>
          </w:p>
        </w:tc>
        <w:tc>
          <w:tcPr>
            <w:tcW w:w="5361" w:type="dxa"/>
            <w:noWrap w:val="0"/>
            <w:vAlign w:val="center"/>
          </w:tcPr>
          <w:p w14:paraId="4418B857">
            <w:pPr>
              <w:adjustRightInd w:val="0"/>
              <w:snapToGrid w:val="0"/>
              <w:spacing w:line="300" w:lineRule="exact"/>
              <w:jc w:val="center"/>
            </w:pPr>
            <w:r>
              <w:t>耐洗刷性</w:t>
            </w:r>
          </w:p>
        </w:tc>
        <w:tc>
          <w:tcPr>
            <w:tcW w:w="3059" w:type="dxa"/>
            <w:noWrap w:val="0"/>
            <w:vAlign w:val="center"/>
          </w:tcPr>
          <w:p w14:paraId="5878DFF9">
            <w:pPr>
              <w:adjustRightInd w:val="0"/>
              <w:snapToGrid w:val="0"/>
              <w:spacing w:line="300" w:lineRule="exact"/>
              <w:jc w:val="center"/>
            </w:pPr>
            <w:r>
              <w:t>GB/T 9755</w:t>
            </w:r>
            <w:r>
              <w:rPr>
                <w:rFonts w:hint="eastAsia"/>
              </w:rPr>
              <w:t>—</w:t>
            </w:r>
            <w:r>
              <w:t>2024</w:t>
            </w:r>
          </w:p>
          <w:p w14:paraId="3731307C">
            <w:pPr>
              <w:adjustRightInd w:val="0"/>
              <w:snapToGrid w:val="0"/>
              <w:spacing w:line="300" w:lineRule="exact"/>
              <w:jc w:val="center"/>
            </w:pPr>
            <w:r>
              <w:t>GB/T 9266</w:t>
            </w:r>
            <w:r>
              <w:rPr>
                <w:rFonts w:hint="eastAsia"/>
              </w:rPr>
              <w:t>—</w:t>
            </w:r>
            <w:r>
              <w:t>2009</w:t>
            </w:r>
          </w:p>
        </w:tc>
      </w:tr>
    </w:tbl>
    <w:p w14:paraId="7C78AAD5">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3528C42B">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5BF1EBE">
      <w:pPr>
        <w:snapToGrid w:val="0"/>
        <w:spacing w:line="440" w:lineRule="exact"/>
        <w:ind w:firstLine="359" w:firstLineChars="171"/>
        <w:rPr>
          <w:color w:val="FF0000"/>
        </w:rPr>
      </w:pPr>
    </w:p>
    <w:p w14:paraId="2FC47333">
      <w:pPr>
        <w:spacing w:line="440" w:lineRule="exact"/>
        <w:rPr>
          <w:rFonts w:eastAsia="黑体"/>
          <w:color w:val="000000"/>
          <w:szCs w:val="21"/>
        </w:rPr>
      </w:pPr>
      <w:r>
        <w:rPr>
          <w:rFonts w:eastAsia="黑体"/>
          <w:color w:val="000000"/>
          <w:szCs w:val="21"/>
        </w:rPr>
        <w:t>3 判定规则</w:t>
      </w:r>
    </w:p>
    <w:p w14:paraId="5C03FE6C">
      <w:pPr>
        <w:snapToGrid w:val="0"/>
        <w:spacing w:line="440" w:lineRule="exact"/>
        <w:rPr>
          <w:color w:val="000000"/>
          <w:szCs w:val="21"/>
        </w:rPr>
      </w:pPr>
      <w:r>
        <w:rPr>
          <w:color w:val="000000"/>
          <w:szCs w:val="21"/>
        </w:rPr>
        <w:t>3.1依据标准</w:t>
      </w:r>
    </w:p>
    <w:p w14:paraId="26D1F65A">
      <w:pPr>
        <w:snapToGrid w:val="0"/>
        <w:spacing w:line="440" w:lineRule="exact"/>
        <w:ind w:firstLine="420" w:firstLineChars="200"/>
        <w:rPr>
          <w:color w:val="000000"/>
        </w:rPr>
      </w:pPr>
      <w:r>
        <w:rPr>
          <w:color w:val="000000"/>
        </w:rPr>
        <w:t>GB/T 9756</w:t>
      </w:r>
      <w:r>
        <w:rPr>
          <w:rFonts w:hint="eastAsia"/>
        </w:rPr>
        <w:t>—</w:t>
      </w:r>
      <w:r>
        <w:rPr>
          <w:color w:val="000000"/>
        </w:rPr>
        <w:t>2018  合成树脂乳液内墙涂料</w:t>
      </w:r>
    </w:p>
    <w:p w14:paraId="2FC36B9A">
      <w:pPr>
        <w:snapToGrid w:val="0"/>
        <w:spacing w:line="440" w:lineRule="exact"/>
        <w:ind w:firstLine="420" w:firstLineChars="200"/>
        <w:rPr>
          <w:color w:val="000000"/>
        </w:rPr>
      </w:pPr>
      <w:r>
        <w:rPr>
          <w:color w:val="000000"/>
        </w:rPr>
        <w:t>GB/T 9755</w:t>
      </w:r>
      <w:r>
        <w:rPr>
          <w:rFonts w:hint="eastAsia"/>
          <w:color w:val="000000"/>
        </w:rPr>
        <w:t>—</w:t>
      </w:r>
      <w:r>
        <w:rPr>
          <w:color w:val="000000"/>
        </w:rPr>
        <w:t>2024  合成树脂乳液墙面涂料</w:t>
      </w:r>
    </w:p>
    <w:p w14:paraId="743315E3">
      <w:pPr>
        <w:snapToGrid w:val="0"/>
        <w:spacing w:line="440" w:lineRule="exact"/>
        <w:ind w:firstLine="420" w:firstLineChars="200"/>
        <w:rPr>
          <w:color w:val="000000"/>
        </w:rPr>
      </w:pPr>
      <w:r>
        <w:rPr>
          <w:color w:val="000000"/>
        </w:rPr>
        <w:t>GB 18582</w:t>
      </w:r>
      <w:r>
        <w:rPr>
          <w:rFonts w:hint="eastAsia"/>
        </w:rPr>
        <w:t>—</w:t>
      </w:r>
      <w:r>
        <w:rPr>
          <w:color w:val="000000"/>
        </w:rPr>
        <w:t>2020   建筑用墙面涂料中有害物质限量</w:t>
      </w:r>
    </w:p>
    <w:p w14:paraId="4A57F83D">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1A47813D">
      <w:pPr>
        <w:snapToGrid w:val="0"/>
        <w:spacing w:line="440" w:lineRule="exact"/>
        <w:rPr>
          <w:color w:val="000000"/>
          <w:szCs w:val="21"/>
        </w:rPr>
      </w:pPr>
      <w:r>
        <w:rPr>
          <w:color w:val="000000"/>
          <w:szCs w:val="21"/>
        </w:rPr>
        <w:t>3.2判定原则</w:t>
      </w:r>
    </w:p>
    <w:p w14:paraId="17F5C851">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7008E029">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0CE34EF3">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011E54AA">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5B125928">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1D2D48B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8B9F3ED">
      <w:pPr>
        <w:snapToGrid w:val="0"/>
        <w:spacing w:line="440" w:lineRule="exact"/>
        <w:rPr>
          <w:color w:val="FF0000"/>
          <w:szCs w:val="21"/>
        </w:rPr>
      </w:pPr>
    </w:p>
    <w:p w14:paraId="5E0964D5">
      <w:pPr>
        <w:spacing w:line="440" w:lineRule="exact"/>
        <w:ind w:firstLine="420" w:firstLineChars="200"/>
        <w:rPr>
          <w:color w:val="FF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font>
  <w:font w:name="E-BZ">
    <w:altName w:val="微软雅黑"/>
    <w:panose1 w:val="00000000000000000000"/>
    <w:charset w:val="86"/>
    <w:family w:val="auto"/>
    <w:pitch w:val="default"/>
    <w:sig w:usb0="00000001" w:usb1="080E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BD514">
    <w:pPr>
      <w:pStyle w:val="4"/>
      <w:jc w:val="center"/>
    </w:pPr>
    <w:r>
      <w:rPr>
        <w:lang w:val="zh-CN"/>
      </w:rPr>
      <w:fldChar w:fldCharType="begin"/>
    </w:r>
    <w:r>
      <w:rPr>
        <w:lang w:val="zh-CN"/>
      </w:rPr>
      <w:instrText xml:space="preserve"> PAGE   \* MERGEFORMAT </w:instrText>
    </w:r>
    <w:r>
      <w:rPr>
        <w:lang w:val="zh-CN"/>
      </w:rPr>
      <w:fldChar w:fldCharType="separate"/>
    </w:r>
    <w:r>
      <w:rPr>
        <w:lang/>
      </w:rPr>
      <w:t>2</w:t>
    </w:r>
    <w:r>
      <w:rPr>
        <w:lang w:val="zh-CN"/>
      </w:rPr>
      <w:fldChar w:fldCharType="end"/>
    </w:r>
  </w:p>
  <w:p w14:paraId="7BA356C9">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1B3F">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14:paraId="1613FABF">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CD0AD">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dmMGM3YjI3YzkyMGY3MjgxYTM2MjlmZjY2ODk4NWYifQ=="/>
    <w:docVar w:name="KSO_WPS_MARK_KEY" w:val="ad9f3a45-af5c-4d05-b613-025c817b316b"/>
  </w:docVars>
  <w:rsids>
    <w:rsidRoot w:val="00172A27"/>
    <w:rsid w:val="000112F8"/>
    <w:rsid w:val="000348D0"/>
    <w:rsid w:val="00051A44"/>
    <w:rsid w:val="00055113"/>
    <w:rsid w:val="000624EF"/>
    <w:rsid w:val="00065510"/>
    <w:rsid w:val="00072A20"/>
    <w:rsid w:val="00076208"/>
    <w:rsid w:val="00081CBD"/>
    <w:rsid w:val="000976DE"/>
    <w:rsid w:val="000B2E51"/>
    <w:rsid w:val="000D314C"/>
    <w:rsid w:val="00105812"/>
    <w:rsid w:val="00106729"/>
    <w:rsid w:val="00110BD1"/>
    <w:rsid w:val="00166BAD"/>
    <w:rsid w:val="00167724"/>
    <w:rsid w:val="0017507C"/>
    <w:rsid w:val="001809DD"/>
    <w:rsid w:val="001825B4"/>
    <w:rsid w:val="0019136D"/>
    <w:rsid w:val="001D1BF7"/>
    <w:rsid w:val="001E7F61"/>
    <w:rsid w:val="002059AC"/>
    <w:rsid w:val="00232530"/>
    <w:rsid w:val="002337D8"/>
    <w:rsid w:val="00253624"/>
    <w:rsid w:val="00276C83"/>
    <w:rsid w:val="002A1B14"/>
    <w:rsid w:val="002D7F8A"/>
    <w:rsid w:val="002E0D1D"/>
    <w:rsid w:val="002E18CE"/>
    <w:rsid w:val="00306A41"/>
    <w:rsid w:val="003144AD"/>
    <w:rsid w:val="003203A3"/>
    <w:rsid w:val="00324AD3"/>
    <w:rsid w:val="00336201"/>
    <w:rsid w:val="00350533"/>
    <w:rsid w:val="00355AC3"/>
    <w:rsid w:val="00361B41"/>
    <w:rsid w:val="00370121"/>
    <w:rsid w:val="0038376D"/>
    <w:rsid w:val="00392D5E"/>
    <w:rsid w:val="003B06E1"/>
    <w:rsid w:val="003B2CC2"/>
    <w:rsid w:val="003B44E8"/>
    <w:rsid w:val="003B47F2"/>
    <w:rsid w:val="003C388C"/>
    <w:rsid w:val="003E61BF"/>
    <w:rsid w:val="003E7F4B"/>
    <w:rsid w:val="00400313"/>
    <w:rsid w:val="00405795"/>
    <w:rsid w:val="00405CCE"/>
    <w:rsid w:val="00423C4A"/>
    <w:rsid w:val="004251CF"/>
    <w:rsid w:val="00431FDB"/>
    <w:rsid w:val="00445E86"/>
    <w:rsid w:val="00450484"/>
    <w:rsid w:val="00457A11"/>
    <w:rsid w:val="00474E04"/>
    <w:rsid w:val="004836A2"/>
    <w:rsid w:val="004970A5"/>
    <w:rsid w:val="004B1784"/>
    <w:rsid w:val="004C4DC5"/>
    <w:rsid w:val="004D0C5A"/>
    <w:rsid w:val="004D5ED7"/>
    <w:rsid w:val="004E1396"/>
    <w:rsid w:val="004F1D3A"/>
    <w:rsid w:val="004F2440"/>
    <w:rsid w:val="004F7A77"/>
    <w:rsid w:val="005063AB"/>
    <w:rsid w:val="005173D9"/>
    <w:rsid w:val="00523857"/>
    <w:rsid w:val="0054495E"/>
    <w:rsid w:val="00551C16"/>
    <w:rsid w:val="00563EBC"/>
    <w:rsid w:val="005746EE"/>
    <w:rsid w:val="00581FBF"/>
    <w:rsid w:val="005854A6"/>
    <w:rsid w:val="00586200"/>
    <w:rsid w:val="0059295A"/>
    <w:rsid w:val="0059492E"/>
    <w:rsid w:val="005A4C99"/>
    <w:rsid w:val="005B2DEB"/>
    <w:rsid w:val="005E0516"/>
    <w:rsid w:val="005E0D39"/>
    <w:rsid w:val="006145B2"/>
    <w:rsid w:val="0063027D"/>
    <w:rsid w:val="00670436"/>
    <w:rsid w:val="006729A9"/>
    <w:rsid w:val="006736E8"/>
    <w:rsid w:val="00677B49"/>
    <w:rsid w:val="00685801"/>
    <w:rsid w:val="006928ED"/>
    <w:rsid w:val="006D47EB"/>
    <w:rsid w:val="006E1171"/>
    <w:rsid w:val="006F0971"/>
    <w:rsid w:val="006F3892"/>
    <w:rsid w:val="00712128"/>
    <w:rsid w:val="0072334C"/>
    <w:rsid w:val="00742049"/>
    <w:rsid w:val="00780594"/>
    <w:rsid w:val="007C74E3"/>
    <w:rsid w:val="007E3848"/>
    <w:rsid w:val="007E7B45"/>
    <w:rsid w:val="007F78DB"/>
    <w:rsid w:val="0080068A"/>
    <w:rsid w:val="0080159D"/>
    <w:rsid w:val="00802CB7"/>
    <w:rsid w:val="00814A5D"/>
    <w:rsid w:val="00834537"/>
    <w:rsid w:val="008517EB"/>
    <w:rsid w:val="00891A27"/>
    <w:rsid w:val="00894BB7"/>
    <w:rsid w:val="00895BEA"/>
    <w:rsid w:val="00896144"/>
    <w:rsid w:val="008A3497"/>
    <w:rsid w:val="008B5097"/>
    <w:rsid w:val="008C26AC"/>
    <w:rsid w:val="008C3490"/>
    <w:rsid w:val="00917A54"/>
    <w:rsid w:val="0092607A"/>
    <w:rsid w:val="00926B83"/>
    <w:rsid w:val="009312C3"/>
    <w:rsid w:val="00937E4B"/>
    <w:rsid w:val="009536D4"/>
    <w:rsid w:val="0096629F"/>
    <w:rsid w:val="00971FF1"/>
    <w:rsid w:val="00986112"/>
    <w:rsid w:val="009A50A0"/>
    <w:rsid w:val="009A5423"/>
    <w:rsid w:val="009D5861"/>
    <w:rsid w:val="00A128CD"/>
    <w:rsid w:val="00A26247"/>
    <w:rsid w:val="00A43553"/>
    <w:rsid w:val="00A43771"/>
    <w:rsid w:val="00A44EA2"/>
    <w:rsid w:val="00A605C6"/>
    <w:rsid w:val="00A6696E"/>
    <w:rsid w:val="00A73B47"/>
    <w:rsid w:val="00AA1C4B"/>
    <w:rsid w:val="00AB7EB9"/>
    <w:rsid w:val="00AC5391"/>
    <w:rsid w:val="00AE4DF0"/>
    <w:rsid w:val="00AF7922"/>
    <w:rsid w:val="00B2401B"/>
    <w:rsid w:val="00B26C94"/>
    <w:rsid w:val="00B428A8"/>
    <w:rsid w:val="00B45C2E"/>
    <w:rsid w:val="00B95C80"/>
    <w:rsid w:val="00B969D9"/>
    <w:rsid w:val="00BA7D71"/>
    <w:rsid w:val="00BB0225"/>
    <w:rsid w:val="00BB24DE"/>
    <w:rsid w:val="00BC63D5"/>
    <w:rsid w:val="00BC768D"/>
    <w:rsid w:val="00BE6BAC"/>
    <w:rsid w:val="00BF2B8C"/>
    <w:rsid w:val="00BF6E59"/>
    <w:rsid w:val="00C23B4F"/>
    <w:rsid w:val="00C241E5"/>
    <w:rsid w:val="00C24C97"/>
    <w:rsid w:val="00C26074"/>
    <w:rsid w:val="00C317FF"/>
    <w:rsid w:val="00C43B29"/>
    <w:rsid w:val="00C60E5E"/>
    <w:rsid w:val="00C66458"/>
    <w:rsid w:val="00C7129B"/>
    <w:rsid w:val="00C83B0A"/>
    <w:rsid w:val="00CE1E0C"/>
    <w:rsid w:val="00CE277E"/>
    <w:rsid w:val="00CF231D"/>
    <w:rsid w:val="00D32B3B"/>
    <w:rsid w:val="00D430A8"/>
    <w:rsid w:val="00D4527A"/>
    <w:rsid w:val="00D5141B"/>
    <w:rsid w:val="00D56867"/>
    <w:rsid w:val="00D61F3A"/>
    <w:rsid w:val="00D8401F"/>
    <w:rsid w:val="00DB782F"/>
    <w:rsid w:val="00DC5230"/>
    <w:rsid w:val="00E02A7F"/>
    <w:rsid w:val="00E07880"/>
    <w:rsid w:val="00E15E32"/>
    <w:rsid w:val="00E3219D"/>
    <w:rsid w:val="00E379DC"/>
    <w:rsid w:val="00E51ECB"/>
    <w:rsid w:val="00E64246"/>
    <w:rsid w:val="00E80148"/>
    <w:rsid w:val="00E82621"/>
    <w:rsid w:val="00E866BC"/>
    <w:rsid w:val="00E94F8F"/>
    <w:rsid w:val="00EC0F9E"/>
    <w:rsid w:val="00EC7D12"/>
    <w:rsid w:val="00EF0D63"/>
    <w:rsid w:val="00F23969"/>
    <w:rsid w:val="00F30463"/>
    <w:rsid w:val="00F37F9F"/>
    <w:rsid w:val="00F42373"/>
    <w:rsid w:val="00F60B42"/>
    <w:rsid w:val="00F77C9A"/>
    <w:rsid w:val="00F86433"/>
    <w:rsid w:val="00FB576C"/>
    <w:rsid w:val="00FC17BC"/>
    <w:rsid w:val="00FC3C21"/>
    <w:rsid w:val="00FD2AA6"/>
    <w:rsid w:val="00FE02A7"/>
    <w:rsid w:val="00FE7E8A"/>
    <w:rsid w:val="00FF68F7"/>
    <w:rsid w:val="036A5FB2"/>
    <w:rsid w:val="07524FD1"/>
    <w:rsid w:val="079F5728"/>
    <w:rsid w:val="09457FEC"/>
    <w:rsid w:val="122F43EF"/>
    <w:rsid w:val="16E80FF0"/>
    <w:rsid w:val="17DB4259"/>
    <w:rsid w:val="1A424B3D"/>
    <w:rsid w:val="1AEC6252"/>
    <w:rsid w:val="1B80331F"/>
    <w:rsid w:val="1DE83302"/>
    <w:rsid w:val="1E97554C"/>
    <w:rsid w:val="1F0C53E5"/>
    <w:rsid w:val="230A47BD"/>
    <w:rsid w:val="232E051A"/>
    <w:rsid w:val="28183B23"/>
    <w:rsid w:val="2D8567C4"/>
    <w:rsid w:val="2FD14541"/>
    <w:rsid w:val="2FE20150"/>
    <w:rsid w:val="301306F5"/>
    <w:rsid w:val="32B12740"/>
    <w:rsid w:val="33250062"/>
    <w:rsid w:val="33564AAB"/>
    <w:rsid w:val="3A7400C2"/>
    <w:rsid w:val="3DA31891"/>
    <w:rsid w:val="41907681"/>
    <w:rsid w:val="46297337"/>
    <w:rsid w:val="4B5F036A"/>
    <w:rsid w:val="58DC169D"/>
    <w:rsid w:val="59602AF9"/>
    <w:rsid w:val="5BC17B11"/>
    <w:rsid w:val="5ECB736B"/>
    <w:rsid w:val="5F6A79C9"/>
    <w:rsid w:val="62157C3D"/>
    <w:rsid w:val="62CE1DD9"/>
    <w:rsid w:val="64587F2D"/>
    <w:rsid w:val="68E0650A"/>
    <w:rsid w:val="6CAE0F16"/>
    <w:rsid w:val="749B2AF9"/>
    <w:rsid w:val="7A18085E"/>
    <w:rsid w:val="7AE35C53"/>
    <w:rsid w:val="7C5621C6"/>
    <w:rsid w:val="7D6F5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8">
    <w:name w:val="Default Paragraph Font"/>
    <w:semiHidden/>
    <w:uiPriority w:val="0"/>
  </w:style>
  <w:style w:type="table" w:default="1" w:styleId="7">
    <w:name w:val="Normal Table"/>
    <w:unhideWhenUsed/>
    <w:uiPriority w:val="99"/>
    <w:tblPr>
      <w:tblStyle w:val="7"/>
      <w:tblCellMar>
        <w:top w:w="0" w:type="dxa"/>
        <w:left w:w="108" w:type="dxa"/>
        <w:bottom w:w="0" w:type="dxa"/>
        <w:right w:w="108" w:type="dxa"/>
      </w:tblCellMar>
    </w:tblPr>
  </w:style>
  <w:style w:type="paragraph" w:styleId="2">
    <w:name w:val="annotation text"/>
    <w:basedOn w:val="1"/>
    <w:link w:val="11"/>
    <w:unhideWhenUsed/>
    <w:uiPriority w:val="99"/>
    <w:pPr>
      <w:jc w:val="left"/>
    </w:pPr>
  </w:style>
  <w:style w:type="paragraph" w:styleId="3">
    <w:name w:val="Balloon Text"/>
    <w:basedOn w:val="1"/>
    <w:link w:val="12"/>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uiPriority w:val="99"/>
    <w:rPr>
      <w:b/>
      <w:bCs/>
    </w:rPr>
  </w:style>
  <w:style w:type="character" w:styleId="9">
    <w:name w:val="page number"/>
    <w:uiPriority w:val="0"/>
  </w:style>
  <w:style w:type="character" w:styleId="10">
    <w:name w:val="annotation reference"/>
    <w:unhideWhenUsed/>
    <w:uiPriority w:val="99"/>
    <w:rPr>
      <w:sz w:val="21"/>
      <w:szCs w:val="21"/>
    </w:rPr>
  </w:style>
  <w:style w:type="character" w:customStyle="1" w:styleId="11">
    <w:name w:val="批注文字 Char"/>
    <w:link w:val="2"/>
    <w:uiPriority w:val="99"/>
    <w:rPr>
      <w:kern w:val="2"/>
      <w:sz w:val="21"/>
      <w:szCs w:val="24"/>
    </w:rPr>
  </w:style>
  <w:style w:type="character" w:customStyle="1" w:styleId="12">
    <w:name w:val="批注框文本 Char"/>
    <w:link w:val="3"/>
    <w:semiHidden/>
    <w:uiPriority w:val="99"/>
    <w:rPr>
      <w:kern w:val="2"/>
      <w:sz w:val="18"/>
      <w:szCs w:val="18"/>
    </w:rPr>
  </w:style>
  <w:style w:type="character" w:customStyle="1" w:styleId="13">
    <w:name w:val="页脚 Char"/>
    <w:link w:val="4"/>
    <w:uiPriority w:val="99"/>
    <w:rPr>
      <w:kern w:val="2"/>
      <w:sz w:val="18"/>
      <w:szCs w:val="18"/>
    </w:rPr>
  </w:style>
  <w:style w:type="character" w:customStyle="1" w:styleId="14">
    <w:name w:val="页眉 Char"/>
    <w:link w:val="5"/>
    <w:semiHidden/>
    <w:uiPriority w:val="99"/>
    <w:rPr>
      <w:kern w:val="2"/>
      <w:sz w:val="18"/>
      <w:szCs w:val="18"/>
    </w:rPr>
  </w:style>
  <w:style w:type="character" w:customStyle="1" w:styleId="15">
    <w:name w:val="批注主题 Char"/>
    <w:link w:val="6"/>
    <w:semiHidden/>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styleId="17">
    <w:name w:val=""/>
    <w:semiHidden/>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1217</Words>
  <Characters>1815</Characters>
  <Lines>14</Lines>
  <Paragraphs>4</Paragraphs>
  <TotalTime>0</TotalTime>
  <ScaleCrop>false</ScaleCrop>
  <LinksUpToDate>false</LinksUpToDate>
  <CharactersWithSpaces>1874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2024-01-16T06:35:00Z</dcterms:created>
  <dc:creator>Legend User</dc:creator>
  <cp:lastModifiedBy>胡小东</cp:lastModifiedBy>
  <cp:lastPrinted>2019-12-05T07:53:00Z</cp:lastPrinted>
  <dcterms:modified xsi:type="dcterms:W3CDTF">2025-05-12T08:38:03Z</dcterms:modified>
  <dc:title>××产品质量监督抽查实施细则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996C658869F84DFF84E5F340D5F549D6_13</vt:lpwstr>
  </property>
  <property fmtid="{D5CDD505-2E9C-101B-9397-08002B2CF9AE}" pid="4" name="KSOTemplateDocerSaveRecord">
    <vt:lpwstr>eyJoZGlkIjoiY2M4ZDc0ZTgwYzc2MWZiYWQ3NjlmNTQ5NGE2OTBjNzMiLCJ1c2VySWQiOiIxNDQ1NDQyMzY0In0=</vt:lpwstr>
  </property>
</Properties>
</file>